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7F" w:rsidRDefault="006E267F">
      <w:pPr>
        <w:ind w:left="9080"/>
        <w:rPr>
          <w:rFonts w:ascii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Додаток 1.1</w:t>
      </w:r>
    </w:p>
    <w:p w:rsidR="006E267F" w:rsidRDefault="006E267F">
      <w:pPr>
        <w:ind w:left="9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до висновку про результати самооцінювання</w:t>
      </w:r>
    </w:p>
    <w:p w:rsidR="006E267F" w:rsidRDefault="006E267F">
      <w:pPr>
        <w:ind w:left="9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внутрішньої системи забезпечення якості освіти</w:t>
      </w:r>
    </w:p>
    <w:p w:rsidR="006E267F" w:rsidRDefault="006E267F">
      <w:pPr>
        <w:ind w:left="9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в «Науковому ліцеї імені Анатолія Лигуна»</w:t>
      </w:r>
    </w:p>
    <w:p w:rsidR="006E267F" w:rsidRDefault="006E267F">
      <w:pPr>
        <w:ind w:left="9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Кам’янської міської ради Дніпропетровської області</w:t>
      </w:r>
    </w:p>
    <w:p w:rsidR="006E267F" w:rsidRDefault="006E267F">
      <w:pPr>
        <w:ind w:left="9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2023/2024 н.р.</w:t>
      </w:r>
    </w:p>
    <w:p w:rsidR="006E267F" w:rsidRDefault="006E26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267F" w:rsidRDefault="006E26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267F" w:rsidRDefault="006E267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ДІагностична картка </w:t>
      </w:r>
    </w:p>
    <w:p w:rsidR="006E267F" w:rsidRDefault="006E2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оцінювання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ru-RU"/>
        </w:rPr>
        <w:t xml:space="preserve">якості освітньої діяльності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напрямом І</w:t>
      </w:r>
    </w:p>
    <w:p w:rsidR="006E267F" w:rsidRDefault="006E2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«Освітнє середовище» в Науковому ліцеї 2023-2024 навчального року</w:t>
      </w:r>
    </w:p>
    <w:p w:rsidR="006E267F" w:rsidRDefault="006E267F">
      <w:pPr>
        <w:shd w:val="clear" w:color="auto" w:fill="FFFFFF"/>
        <w:spacing w:before="150" w:after="150" w:line="240" w:lineRule="auto"/>
        <w:ind w:righ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Критерії, індикатори та інструменти оцінювання освітнього середовища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419"/>
        <w:gridCol w:w="3455"/>
        <w:gridCol w:w="2779"/>
        <w:gridCol w:w="2380"/>
        <w:gridCol w:w="1543"/>
      </w:tblGrid>
      <w:tr w:rsidR="006E267F">
        <w:trPr>
          <w:trHeight w:val="120"/>
        </w:trPr>
        <w:tc>
          <w:tcPr>
            <w:tcW w:w="2008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Вимога/правило  </w:t>
            </w:r>
          </w:p>
        </w:tc>
        <w:tc>
          <w:tcPr>
            <w:tcW w:w="238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Методи збору інформації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Інструментарій 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Результат оцінювання</w:t>
            </w:r>
          </w:p>
        </w:tc>
      </w:tr>
      <w:tr w:rsidR="006E267F">
        <w:trPr>
          <w:trHeight w:val="120"/>
        </w:trPr>
        <w:tc>
          <w:tcPr>
            <w:tcW w:w="2008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8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E267F">
        <w:trPr>
          <w:cantSplit/>
          <w:trHeight w:val="120"/>
        </w:trPr>
        <w:tc>
          <w:tcPr>
            <w:tcW w:w="2008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комфортних і безпечних умов навчання та праці</w:t>
            </w: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Безпечне облаштування території закладу та розташування приміщень  </w:t>
            </w:r>
          </w:p>
        </w:tc>
        <w:tc>
          <w:tcPr>
            <w:tcW w:w="2736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 (освітнє середовище), опитування (інтерв’ю з керівником, анкетування батьків, здобувачів освіти)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Форма спостереження за освітнім середовищем (питання 1—8 п.1.1.1.1)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Перелік питань для інтерв’ю з керівником (п.1)  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736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Форма спостереження за освітнім середовищем (питання 1—8 п.1.1.1.2)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Анкета для батьків (п.10)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Анкета для здобувачів освіти (п.4)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Форма вивчення документації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високий 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Наявні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736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вивчення документації, опитування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навчальних кабінетів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736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Навчання/інструктажі з охорони праці, безпеки життєдіяльності, пожежної безпеки, правил поведінки в умовах надзвичайних ситуацій: види, періодичність проведенння, зміст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736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736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створюються умови для харчування здобувачів освіти і працівників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Організація харчування  сприяє формуванню культури здорового харчування у здобувачів освіти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спостереження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учасників освітнього процесу, які задоволені умовами харчування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поінформовані щодо безпечного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мережі Інтернет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Застосовуються підходи, що сприяють адаптації педагогічних працівників до професійної діяльності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743"/>
        </w:trPr>
        <w:tc>
          <w:tcPr>
            <w:tcW w:w="2008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Розроблено план заходів із запобігання та протидії булінгу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Реалізуються заходи із запобігання проявам дискримінації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 заходів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61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61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та педагогічні працівники закладу освіти обізнані з ознаками булінгу, іншого насильства та запобігання йому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61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та/або вивчення документації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79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Правила поведінки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43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43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дотримуються прийнятих у закладі освіти правил поведінки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79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Аналіз відвідуваності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61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реагує на звернення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випадки булінгу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96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Самоаналіз роботи практичнго психолога, соціального педагога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Вимагає покращення </w:t>
            </w:r>
          </w:p>
        </w:tc>
      </w:tr>
      <w:tr w:rsidR="006E267F">
        <w:trPr>
          <w:cantSplit/>
          <w:trHeight w:val="557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Облік учнів із  соціально вразливих груп</w:t>
            </w: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615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Наявні пандуси, спеціальні кольорові позначки у приміщенні;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територія (доріжки, ігрові та спортивні майданчики тощо) адаптована до використання всіма учасниками освітнього процесу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Наявні та використовуються ресурсна кімната, дидактичні засоби для осіб з особливими освітніми потребами (у разі наявності здобувачів освіти з особливими освітніми потребами)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 посади асистента вчителя, практичного психолога, вчителя-дефектолога, інших фахівців для реалізації інклюзивного навчання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Забезпечено корекційну спрямованість освітнього процесу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Педагогічні працівники застосовують форми, методи, прийоми роботи з дітьми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 особливими освітніми потребами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педагогічних працівників з питань навчання дітей з особливими освітніми потребами (створено команду психолого-педагогічного супроводу, розроблено індивідуальну програму розвитку тощо)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здобувачів освіти з особливими освітніми потребами)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Достатній </w:t>
            </w:r>
          </w:p>
        </w:tc>
      </w:tr>
      <w:tr w:rsidR="006E267F">
        <w:trPr>
          <w:cantSplit/>
          <w:trHeight w:val="12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6E267F">
        <w:trPr>
          <w:cantSplit/>
          <w:trHeight w:val="1610"/>
        </w:trPr>
        <w:tc>
          <w:tcPr>
            <w:tcW w:w="2008" w:type="dxa"/>
            <w:vMerge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402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Простір і ресурси бібліотеки / інформаційно-ресурсного центру використовуються для: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індивідуальної, групової, проєктної та іншої роботи у рамках освітнього процесу, 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різних форм комунікації учасників освітнього процесу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формування інформаційно-комунікаційної компетентності здобувачів освіти</w:t>
            </w:r>
          </w:p>
        </w:tc>
        <w:tc>
          <w:tcPr>
            <w:tcW w:w="2736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</w:tbl>
    <w:p w:rsidR="006E267F" w:rsidRDefault="006E267F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</w:t>
      </w:r>
    </w:p>
    <w:p w:rsidR="006E267F" w:rsidRDefault="006E26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Рівні оцінювання:</w:t>
      </w: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587"/>
      </w:tblGrid>
      <w:tr w:rsidR="006E267F">
        <w:tc>
          <w:tcPr>
            <w:tcW w:w="2122" w:type="dxa"/>
            <w:shd w:val="clear" w:color="auto" w:fill="FFC000"/>
          </w:tcPr>
          <w:p w:rsidR="006E267F" w:rsidRDefault="006E267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Вимога/правило</w:t>
            </w:r>
          </w:p>
        </w:tc>
        <w:tc>
          <w:tcPr>
            <w:tcW w:w="12587" w:type="dxa"/>
            <w:shd w:val="clear" w:color="auto" w:fill="FFC000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Рівень освітньої діяльності </w:t>
            </w:r>
          </w:p>
        </w:tc>
      </w:tr>
      <w:tr w:rsidR="006E267F">
        <w:tc>
          <w:tcPr>
            <w:tcW w:w="212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12587" w:type="dxa"/>
          </w:tcPr>
          <w:p w:rsidR="006E267F" w:rsidRDefault="006E267F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Достатній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6E267F">
        <w:tc>
          <w:tcPr>
            <w:tcW w:w="212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12587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Достатній</w:t>
            </w:r>
          </w:p>
        </w:tc>
      </w:tr>
      <w:tr w:rsidR="006E267F">
        <w:tc>
          <w:tcPr>
            <w:tcW w:w="2122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12587" w:type="dxa"/>
          </w:tcPr>
          <w:p w:rsidR="006E267F" w:rsidRDefault="006E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Достатній</w:t>
            </w:r>
          </w:p>
        </w:tc>
      </w:tr>
      <w:tr w:rsidR="006E267F">
        <w:tc>
          <w:tcPr>
            <w:tcW w:w="14709" w:type="dxa"/>
            <w:gridSpan w:val="2"/>
            <w:shd w:val="clear" w:color="auto" w:fill="C5E0B3"/>
          </w:tcPr>
          <w:p w:rsidR="006E267F" w:rsidRDefault="006E2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 напрямом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 «Освітнє середовище»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                                     Достатній</w:t>
            </w:r>
          </w:p>
        </w:tc>
      </w:tr>
    </w:tbl>
    <w:p w:rsidR="006E267F" w:rsidRDefault="006E267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6E267F" w:rsidRDefault="006E267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Заступник директора з НВР                                                                                                                          Л.В.Панченко</w:t>
      </w:r>
    </w:p>
    <w:sectPr w:rsidR="006E267F" w:rsidSect="006E26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67F"/>
    <w:rsid w:val="006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1555</Words>
  <Characters>8869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Lana</cp:lastModifiedBy>
  <cp:revision>16</cp:revision>
  <dcterms:created xsi:type="dcterms:W3CDTF">2020-07-21T08:28:00Z</dcterms:created>
  <dcterms:modified xsi:type="dcterms:W3CDTF">2025-07-04T08:21:00Z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