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1D" w:rsidRPr="001C4084" w:rsidRDefault="005647B6" w:rsidP="00BC361D">
      <w:pPr>
        <w:jc w:val="center"/>
        <w:rPr>
          <w:b/>
          <w:lang w:val="uk-UA"/>
        </w:rPr>
      </w:pPr>
      <w:r w:rsidRPr="005647B6">
        <w:rPr>
          <w:b/>
        </w:rPr>
        <w:t xml:space="preserve"> </w:t>
      </w:r>
      <w:r w:rsidR="00BC361D" w:rsidRPr="001C4084">
        <w:rPr>
          <w:b/>
          <w:lang w:val="uk-UA"/>
        </w:rPr>
        <w:t xml:space="preserve">Моніторинг </w:t>
      </w:r>
      <w:r w:rsidR="00BC361D">
        <w:rPr>
          <w:b/>
          <w:lang w:val="uk-UA"/>
        </w:rPr>
        <w:t>якості знань та освітніх втрат в</w:t>
      </w:r>
      <w:r w:rsidR="00BC361D" w:rsidRPr="001C4084">
        <w:rPr>
          <w:b/>
          <w:lang w:val="uk-UA"/>
        </w:rPr>
        <w:t xml:space="preserve"> учнів</w:t>
      </w:r>
      <w:r w:rsidR="00731A31">
        <w:rPr>
          <w:b/>
          <w:lang w:val="uk-UA"/>
        </w:rPr>
        <w:t xml:space="preserve"> 11-х класів</w:t>
      </w:r>
    </w:p>
    <w:p w:rsidR="00BC361D" w:rsidRDefault="00BC361D" w:rsidP="00BC361D">
      <w:pPr>
        <w:jc w:val="center"/>
        <w:rPr>
          <w:b/>
          <w:lang w:val="uk-UA"/>
        </w:rPr>
      </w:pPr>
      <w:r>
        <w:rPr>
          <w:b/>
          <w:lang w:val="uk-UA"/>
        </w:rPr>
        <w:t>К</w:t>
      </w:r>
      <w:r w:rsidRPr="001C4084">
        <w:rPr>
          <w:b/>
          <w:lang w:val="uk-UA"/>
        </w:rPr>
        <w:t>омунального закладу «</w:t>
      </w:r>
      <w:r>
        <w:rPr>
          <w:b/>
          <w:lang w:val="uk-UA"/>
        </w:rPr>
        <w:t>Науковий ліцей імені Анатолія Лигуна»</w:t>
      </w:r>
    </w:p>
    <w:p w:rsidR="00BC361D" w:rsidRDefault="00BC361D" w:rsidP="00BC361D">
      <w:pPr>
        <w:jc w:val="center"/>
        <w:rPr>
          <w:b/>
          <w:lang w:val="uk-UA"/>
        </w:rPr>
      </w:pPr>
      <w:r>
        <w:rPr>
          <w:b/>
          <w:lang w:val="uk-UA"/>
        </w:rPr>
        <w:t xml:space="preserve"> Кам’янської міської ради </w:t>
      </w:r>
    </w:p>
    <w:p w:rsidR="00731A31" w:rsidRDefault="00731A31" w:rsidP="00BC361D">
      <w:pPr>
        <w:jc w:val="center"/>
        <w:rPr>
          <w:b/>
          <w:lang w:val="uk-UA"/>
        </w:rPr>
      </w:pPr>
      <w:r>
        <w:rPr>
          <w:b/>
          <w:lang w:val="uk-UA"/>
        </w:rPr>
        <w:t xml:space="preserve">у формі апробації НМТ </w:t>
      </w:r>
      <w:r w:rsidR="00CB49DB">
        <w:rPr>
          <w:b/>
          <w:lang w:val="uk-UA"/>
        </w:rPr>
        <w:t>математики</w:t>
      </w:r>
    </w:p>
    <w:p w:rsidR="00BC361D" w:rsidRDefault="00731A31" w:rsidP="00BC361D">
      <w:pPr>
        <w:jc w:val="center"/>
        <w:rPr>
          <w:b/>
          <w:lang w:val="uk-UA"/>
        </w:rPr>
      </w:pPr>
      <w:r>
        <w:rPr>
          <w:b/>
          <w:lang w:val="uk-UA"/>
        </w:rPr>
        <w:t xml:space="preserve"> </w:t>
      </w:r>
      <w:r w:rsidR="00BC361D">
        <w:rPr>
          <w:b/>
          <w:lang w:val="uk-UA"/>
        </w:rPr>
        <w:t xml:space="preserve">2023 – 2024 навчального року </w:t>
      </w:r>
    </w:p>
    <w:p w:rsidR="00F61AD0" w:rsidRDefault="00F61AD0">
      <w:pPr>
        <w:rPr>
          <w:lang w:val="uk-UA"/>
        </w:rPr>
      </w:pPr>
    </w:p>
    <w:p w:rsidR="00BC361D" w:rsidRPr="0010588D" w:rsidRDefault="001048A5" w:rsidP="0010588D">
      <w:pPr>
        <w:spacing w:line="360" w:lineRule="auto"/>
        <w:ind w:firstLine="708"/>
        <w:jc w:val="both"/>
        <w:rPr>
          <w:rFonts w:eastAsia="Times New Roman" w:cs="Times New Roman"/>
          <w:szCs w:val="28"/>
          <w:lang w:val="uk-UA" w:eastAsia="ru-RU"/>
        </w:rPr>
      </w:pPr>
      <w:r w:rsidRPr="0010588D">
        <w:rPr>
          <w:rFonts w:eastAsia="Times New Roman" w:cs="Times New Roman"/>
          <w:color w:val="000000"/>
          <w:szCs w:val="28"/>
          <w:lang w:val="uk-UA" w:eastAsia="ru-RU"/>
        </w:rPr>
        <w:t>Відповідно до наказу Міністерства освіти та науки України від 16.01.2020 №54 «Про затвердження Порядку проведення моніторингу якості освіти», зареєстрованого в Міністерстві юстиції України 10 лютого 2020 за №154/34437, Положення про порядок проведення внутрішнього моніторингу якості освіти, річного плану роботи закладу та з метою моніторингу ре</w:t>
      </w:r>
      <w:r w:rsidR="00FB3E63" w:rsidRPr="0010588D">
        <w:rPr>
          <w:rFonts w:eastAsia="Times New Roman" w:cs="Times New Roman"/>
          <w:color w:val="000000"/>
          <w:szCs w:val="28"/>
          <w:lang w:val="uk-UA" w:eastAsia="ru-RU"/>
        </w:rPr>
        <w:t>зультатів навчання учнів</w:t>
      </w:r>
      <w:r w:rsidR="005B6F1F" w:rsidRPr="0010588D">
        <w:rPr>
          <w:rFonts w:eastAsia="Times New Roman" w:cs="Times New Roman"/>
          <w:color w:val="000000"/>
          <w:szCs w:val="28"/>
          <w:lang w:val="uk-UA" w:eastAsia="ru-RU"/>
        </w:rPr>
        <w:t xml:space="preserve"> </w:t>
      </w:r>
      <w:r w:rsidR="00FB3E63" w:rsidRPr="0010588D">
        <w:rPr>
          <w:rFonts w:eastAsia="Times New Roman" w:cs="Times New Roman"/>
          <w:color w:val="000000"/>
          <w:szCs w:val="28"/>
          <w:lang w:val="uk-UA" w:eastAsia="ru-RU"/>
        </w:rPr>
        <w:t>11 квітня</w:t>
      </w:r>
      <w:r w:rsidRPr="0010588D">
        <w:rPr>
          <w:rFonts w:eastAsia="Times New Roman" w:cs="Times New Roman"/>
          <w:color w:val="000000"/>
          <w:szCs w:val="28"/>
          <w:lang w:val="uk-UA" w:eastAsia="ru-RU"/>
        </w:rPr>
        <w:t xml:space="preserve"> </w:t>
      </w:r>
      <w:r w:rsidR="00C25E35" w:rsidRPr="0010588D">
        <w:rPr>
          <w:rFonts w:eastAsia="Times New Roman" w:cs="Times New Roman"/>
          <w:color w:val="000000"/>
          <w:szCs w:val="28"/>
          <w:lang w:val="uk-UA" w:eastAsia="ru-RU"/>
        </w:rPr>
        <w:t>2024 року</w:t>
      </w:r>
      <w:r w:rsidRPr="0010588D">
        <w:rPr>
          <w:rFonts w:eastAsia="Times New Roman" w:cs="Times New Roman"/>
          <w:color w:val="000000"/>
          <w:szCs w:val="28"/>
          <w:lang w:val="uk-UA" w:eastAsia="ru-RU"/>
        </w:rPr>
        <w:t xml:space="preserve"> </w:t>
      </w:r>
      <w:r w:rsidRPr="0010588D">
        <w:rPr>
          <w:rFonts w:eastAsia="Times New Roman" w:cs="Times New Roman"/>
          <w:szCs w:val="28"/>
          <w:lang w:val="uk-UA" w:eastAsia="ru-RU"/>
        </w:rPr>
        <w:t xml:space="preserve">проведено моніторинг якості </w:t>
      </w:r>
      <w:r w:rsidR="00C25E35" w:rsidRPr="0010588D">
        <w:rPr>
          <w:rFonts w:eastAsia="Times New Roman" w:cs="Times New Roman"/>
          <w:szCs w:val="28"/>
          <w:lang w:val="uk-UA" w:eastAsia="ru-RU"/>
        </w:rPr>
        <w:t xml:space="preserve">знань </w:t>
      </w:r>
      <w:r w:rsidR="005647B6" w:rsidRPr="0010588D">
        <w:rPr>
          <w:rFonts w:eastAsia="Times New Roman" w:cs="Times New Roman"/>
          <w:szCs w:val="28"/>
          <w:lang w:val="uk-UA" w:eastAsia="ru-RU"/>
        </w:rPr>
        <w:t xml:space="preserve">у формі апробації з </w:t>
      </w:r>
      <w:r w:rsidR="00CB49DB">
        <w:rPr>
          <w:rFonts w:eastAsia="Times New Roman" w:cs="Times New Roman"/>
          <w:szCs w:val="28"/>
          <w:lang w:val="uk-UA" w:eastAsia="ru-RU"/>
        </w:rPr>
        <w:t>математики</w:t>
      </w:r>
      <w:r w:rsidR="005647B6" w:rsidRPr="0010588D">
        <w:rPr>
          <w:rFonts w:eastAsia="Times New Roman" w:cs="Times New Roman"/>
          <w:szCs w:val="28"/>
          <w:lang w:val="uk-UA" w:eastAsia="ru-RU"/>
        </w:rPr>
        <w:t>.</w:t>
      </w:r>
    </w:p>
    <w:p w:rsidR="00F042CB" w:rsidRPr="00F042CB" w:rsidRDefault="00F042CB" w:rsidP="00F042CB">
      <w:pPr>
        <w:spacing w:line="360" w:lineRule="auto"/>
        <w:ind w:firstLine="708"/>
        <w:jc w:val="both"/>
        <w:rPr>
          <w:rFonts w:eastAsia="Calibri" w:cs="Times New Roman"/>
          <w:szCs w:val="28"/>
          <w:lang w:val="uk-UA"/>
        </w:rPr>
      </w:pPr>
      <w:r w:rsidRPr="00F042CB">
        <w:rPr>
          <w:rFonts w:eastAsia="Calibri" w:cs="Times New Roman"/>
          <w:szCs w:val="28"/>
          <w:lang w:val="uk-UA"/>
        </w:rPr>
        <w:t>Метою контрольного тестування було встановлення рівня знань та вмінь учнів, виявлення недоліків в ході опанування теорією та практичними навичками, аналіз готовності учнів до проходження НМТ з математики.</w:t>
      </w:r>
    </w:p>
    <w:p w:rsidR="00F042CB" w:rsidRPr="00F042CB" w:rsidRDefault="00F042CB" w:rsidP="00F042CB">
      <w:pPr>
        <w:spacing w:line="360" w:lineRule="auto"/>
        <w:ind w:firstLine="708"/>
        <w:jc w:val="both"/>
        <w:rPr>
          <w:rFonts w:eastAsia="Calibri" w:cs="Times New Roman"/>
          <w:szCs w:val="28"/>
          <w:lang w:val="uk-UA"/>
        </w:rPr>
      </w:pPr>
      <w:r w:rsidRPr="00F042CB">
        <w:rPr>
          <w:rFonts w:eastAsia="Calibri" w:cs="Times New Roman"/>
          <w:szCs w:val="28"/>
          <w:lang w:val="uk-UA"/>
        </w:rPr>
        <w:t>Тестове завдання з математики містило 22 завдання різних форм, а саме:</w:t>
      </w:r>
    </w:p>
    <w:p w:rsidR="00F042CB" w:rsidRPr="00F042CB" w:rsidRDefault="00F042CB" w:rsidP="00F042CB">
      <w:pPr>
        <w:numPr>
          <w:ilvl w:val="0"/>
          <w:numId w:val="4"/>
        </w:numPr>
        <w:spacing w:after="200" w:line="360" w:lineRule="auto"/>
        <w:ind w:left="360"/>
        <w:jc w:val="both"/>
        <w:rPr>
          <w:rFonts w:eastAsia="Calibri" w:cs="Times New Roman"/>
          <w:szCs w:val="28"/>
          <w:lang w:val="uk-UA"/>
        </w:rPr>
      </w:pPr>
      <w:r w:rsidRPr="00F042CB">
        <w:rPr>
          <w:rFonts w:eastAsia="Calibri" w:cs="Times New Roman"/>
          <w:szCs w:val="28"/>
          <w:lang w:val="uk-UA"/>
        </w:rPr>
        <w:t>завдання з вибором однієї правильної відповіді (1-15). Завдання мають основу та чотири або п’ять варіантів відповіді, з яких лише один правильний;</w:t>
      </w:r>
    </w:p>
    <w:p w:rsidR="00F042CB" w:rsidRPr="00F042CB" w:rsidRDefault="00F042CB" w:rsidP="00F042CB">
      <w:pPr>
        <w:numPr>
          <w:ilvl w:val="0"/>
          <w:numId w:val="4"/>
        </w:numPr>
        <w:spacing w:after="200" w:line="360" w:lineRule="auto"/>
        <w:ind w:left="360"/>
        <w:jc w:val="both"/>
        <w:rPr>
          <w:rFonts w:eastAsia="Calibri" w:cs="Times New Roman"/>
          <w:szCs w:val="28"/>
          <w:lang w:val="uk-UA"/>
        </w:rPr>
      </w:pPr>
      <w:r w:rsidRPr="00F042CB">
        <w:rPr>
          <w:rFonts w:eastAsia="Calibri" w:cs="Times New Roman"/>
          <w:szCs w:val="28"/>
          <w:lang w:val="uk-UA"/>
        </w:rPr>
        <w:t>завдання на встановлення відповідності («логічні пари», 16, 17, 18). Завдання має основу та два стовпчики інформації, позначені цифрами (ліворуч) і буквами (праворуч);</w:t>
      </w:r>
    </w:p>
    <w:p w:rsidR="00F042CB" w:rsidRPr="00F042CB" w:rsidRDefault="00F042CB" w:rsidP="00F042CB">
      <w:pPr>
        <w:numPr>
          <w:ilvl w:val="0"/>
          <w:numId w:val="4"/>
        </w:numPr>
        <w:spacing w:after="200" w:line="360" w:lineRule="auto"/>
        <w:ind w:left="360"/>
        <w:jc w:val="both"/>
        <w:rPr>
          <w:rFonts w:eastAsia="Calibri" w:cs="Times New Roman"/>
          <w:szCs w:val="28"/>
          <w:lang w:val="uk-UA"/>
        </w:rPr>
      </w:pPr>
      <w:r w:rsidRPr="00F042CB">
        <w:rPr>
          <w:rFonts w:eastAsia="Calibri" w:cs="Times New Roman"/>
          <w:szCs w:val="28"/>
          <w:lang w:val="uk-UA"/>
        </w:rPr>
        <w:t>завдання з відкритою відповіддю (19 – 22).</w:t>
      </w:r>
    </w:p>
    <w:p w:rsidR="00F042CB" w:rsidRPr="00F042CB" w:rsidRDefault="00F042CB" w:rsidP="00F042CB">
      <w:pPr>
        <w:spacing w:line="360" w:lineRule="auto"/>
        <w:ind w:firstLine="709"/>
        <w:jc w:val="both"/>
        <w:rPr>
          <w:rFonts w:eastAsia="Calibri" w:cs="Times New Roman"/>
          <w:szCs w:val="28"/>
          <w:lang w:val="uk-UA"/>
        </w:rPr>
      </w:pPr>
      <w:r w:rsidRPr="00F042CB">
        <w:rPr>
          <w:rFonts w:eastAsia="Calibri" w:cs="Times New Roman"/>
          <w:szCs w:val="28"/>
          <w:lang w:val="uk-UA"/>
        </w:rPr>
        <w:t>За кожне правильно виконане тестове завдання нараховується 1 бал, кожне завдання на встановлення відповідності оцінюється у 3 бали (по 1 балу за кожну правильно встановлену логічну пару), кожне завдання з відкритою відповіддю оцінюється у 2 бали. Максимальна кількість балів, яку можна набрати, правильно виконавши всі завдання – 32, у переводі до шкали 1 – 12 балів: 32*0,375=12.</w:t>
      </w:r>
    </w:p>
    <w:p w:rsidR="007E4847" w:rsidRDefault="00D02C6C" w:rsidP="00F042CB">
      <w:pPr>
        <w:spacing w:line="360" w:lineRule="auto"/>
        <w:jc w:val="both"/>
        <w:rPr>
          <w:rFonts w:eastAsia="Calibri" w:cs="Times New Roman"/>
          <w:szCs w:val="28"/>
          <w:lang w:val="uk-UA"/>
        </w:rPr>
      </w:pPr>
      <w:r>
        <w:rPr>
          <w:rFonts w:eastAsia="Calibri" w:cs="Times New Roman"/>
          <w:szCs w:val="28"/>
          <w:lang w:val="uk-UA"/>
        </w:rPr>
        <w:t xml:space="preserve">          </w:t>
      </w:r>
      <w:r w:rsidR="00F042CB" w:rsidRPr="00F042CB">
        <w:rPr>
          <w:rFonts w:eastAsia="Calibri" w:cs="Times New Roman"/>
          <w:szCs w:val="28"/>
          <w:lang w:val="uk-UA"/>
        </w:rPr>
        <w:t>На викона</w:t>
      </w:r>
      <w:r w:rsidR="007E4847">
        <w:rPr>
          <w:rFonts w:eastAsia="Calibri" w:cs="Times New Roman"/>
          <w:szCs w:val="28"/>
          <w:lang w:val="uk-UA"/>
        </w:rPr>
        <w:t>ння роботи відведено 60 хвилин.</w:t>
      </w:r>
    </w:p>
    <w:p w:rsidR="00D02C6C" w:rsidRDefault="00D02C6C" w:rsidP="00F042CB">
      <w:pPr>
        <w:spacing w:line="360" w:lineRule="auto"/>
        <w:jc w:val="both"/>
        <w:rPr>
          <w:rFonts w:eastAsia="Calibri" w:cs="Times New Roman"/>
          <w:szCs w:val="28"/>
          <w:lang w:val="uk-UA"/>
        </w:rPr>
      </w:pPr>
      <w:r>
        <w:rPr>
          <w:rFonts w:eastAsia="Calibri" w:cs="Times New Roman"/>
          <w:szCs w:val="28"/>
          <w:lang w:val="uk-UA"/>
        </w:rPr>
        <w:t xml:space="preserve">          </w:t>
      </w:r>
      <w:r w:rsidR="007E4847">
        <w:rPr>
          <w:rFonts w:eastAsia="Calibri" w:cs="Times New Roman"/>
          <w:szCs w:val="28"/>
          <w:lang w:val="uk-UA"/>
        </w:rPr>
        <w:t>Б</w:t>
      </w:r>
      <w:r w:rsidR="00F042CB" w:rsidRPr="00F042CB">
        <w:rPr>
          <w:rFonts w:eastAsia="Calibri" w:cs="Times New Roman"/>
          <w:szCs w:val="28"/>
          <w:lang w:val="uk-UA"/>
        </w:rPr>
        <w:t xml:space="preserve">али нараховувалися за правильні відповіді без врахування часткового просування у розв’язанні, якість детального запису усіх кроків розв’язання не оцінювалася. </w:t>
      </w:r>
    </w:p>
    <w:p w:rsidR="00F042CB" w:rsidRPr="00F042CB" w:rsidRDefault="00D02C6C" w:rsidP="00F042CB">
      <w:pPr>
        <w:spacing w:line="360" w:lineRule="auto"/>
        <w:jc w:val="both"/>
        <w:rPr>
          <w:rFonts w:eastAsia="Calibri" w:cs="Times New Roman"/>
          <w:szCs w:val="28"/>
          <w:lang w:val="uk-UA"/>
        </w:rPr>
      </w:pPr>
      <w:r>
        <w:rPr>
          <w:rFonts w:eastAsia="Calibri" w:cs="Times New Roman"/>
          <w:szCs w:val="28"/>
          <w:lang w:val="uk-UA"/>
        </w:rPr>
        <w:lastRenderedPageBreak/>
        <w:t xml:space="preserve">        </w:t>
      </w:r>
      <w:r w:rsidR="00F042CB" w:rsidRPr="00F042CB">
        <w:rPr>
          <w:rFonts w:eastAsia="Calibri" w:cs="Times New Roman"/>
          <w:szCs w:val="28"/>
          <w:lang w:val="uk-UA"/>
        </w:rPr>
        <w:t>Роботу з математики та української мови було поєднано у єдиний блок, таким чином умови тестування були максимально наближені до реального НМТ (за винятком того, що було використано паперову версію завдань та не було дозволено використання жодних довідникових матеріалів).</w:t>
      </w:r>
    </w:p>
    <w:p w:rsidR="00F042CB" w:rsidRPr="00F042CB" w:rsidRDefault="00F042CB" w:rsidP="00F042CB">
      <w:pPr>
        <w:spacing w:line="360" w:lineRule="auto"/>
        <w:ind w:firstLine="708"/>
        <w:jc w:val="both"/>
        <w:rPr>
          <w:rFonts w:eastAsia="Calibri" w:cs="Times New Roman"/>
          <w:bCs/>
          <w:szCs w:val="28"/>
          <w:lang w:val="uk-UA"/>
        </w:rPr>
      </w:pPr>
      <w:r w:rsidRPr="00F042CB">
        <w:rPr>
          <w:rFonts w:eastAsia="Calibri" w:cs="Times New Roman"/>
          <w:bCs/>
          <w:szCs w:val="28"/>
          <w:lang w:val="uk-UA"/>
        </w:rPr>
        <w:t xml:space="preserve">Результат перевірки контрольної роботи свідчить про те, що основна маса учнів 11-х  класів здобула необхідні знання на високому та достатньому  рівнях. </w:t>
      </w:r>
    </w:p>
    <w:p w:rsidR="00F042CB" w:rsidRPr="00F042CB" w:rsidRDefault="00F042CB" w:rsidP="00F042CB">
      <w:pPr>
        <w:spacing w:line="360" w:lineRule="auto"/>
        <w:ind w:firstLine="708"/>
        <w:jc w:val="both"/>
        <w:rPr>
          <w:rFonts w:eastAsia="Calibri" w:cs="Times New Roman"/>
          <w:bCs/>
          <w:szCs w:val="28"/>
          <w:lang w:val="uk-UA"/>
        </w:rPr>
      </w:pPr>
      <w:r w:rsidRPr="00F042CB">
        <w:rPr>
          <w:rFonts w:eastAsia="Calibri" w:cs="Times New Roman"/>
          <w:bCs/>
          <w:szCs w:val="28"/>
          <w:lang w:val="uk-UA"/>
        </w:rPr>
        <w:t>Найкраще учні справилися з тестовими завданнями, що стосуються базових навичок, які весь час затребувані у процесі виконання поточних завдань (символьні перетворення, спрощення виразів, дії над степенями тощо). Також помітно кращими були результати виконання тих завдань, які стосувалися матеріалу 11 класу (логарифмічні та показникові рівняння та нерівності, комбінаторика та теорія ймовірностей), оскільки труднощі з відтворенням необхідних формул та алгоритмів розв’язання у цьому випадку були меншими. Серед тестових завдань найбільші труднощі були пов’язані з виконанням завдань із розділу «Тригонометрія», оскільки правильне їх виконання вимагає знання відповідних формул. Також очікувано складними виявилися ті завдання на відповідність, які вимагають аналізу властивостей елементарних функцій, оскільки у таких завданнях потрібно зробити висновки про взаємне розташування графіків. Помилки пов’язані з неточною або неправильною побудовою, та / або недостатнім володінням термінологією.</w:t>
      </w:r>
    </w:p>
    <w:p w:rsidR="00F042CB" w:rsidRPr="00F042CB" w:rsidRDefault="00F042CB" w:rsidP="00F042CB">
      <w:pPr>
        <w:spacing w:line="360" w:lineRule="auto"/>
        <w:ind w:firstLine="708"/>
        <w:jc w:val="both"/>
        <w:rPr>
          <w:rFonts w:eastAsia="Calibri" w:cs="Times New Roman"/>
          <w:bCs/>
          <w:szCs w:val="28"/>
          <w:lang w:val="uk-UA"/>
        </w:rPr>
      </w:pPr>
      <w:r w:rsidRPr="00F042CB">
        <w:rPr>
          <w:rFonts w:eastAsia="Calibri" w:cs="Times New Roman"/>
          <w:bCs/>
          <w:szCs w:val="28"/>
          <w:lang w:val="uk-UA"/>
        </w:rPr>
        <w:t xml:space="preserve"> Найбільше проблем викликали завдання з відкритою відповіддю зі стереометрії та завдання з параметром. У завданнях зі стереометрії переважна більшість помилок була зроблена на останньому кроці (помилка у обчисленні, неправильне або неточне розуміння питання задачі, помилка у остаточній розрахунковій формулі). Завдання з параметром не були розв’язані через брак часу, або недостатнє володіння алгоритмом розв’язування подібних задач. </w:t>
      </w:r>
    </w:p>
    <w:p w:rsidR="00F042CB" w:rsidRPr="00F042CB" w:rsidRDefault="00F042CB" w:rsidP="00F042CB">
      <w:pPr>
        <w:spacing w:line="360" w:lineRule="auto"/>
        <w:ind w:firstLine="708"/>
        <w:jc w:val="both"/>
        <w:rPr>
          <w:rFonts w:eastAsia="Calibri" w:cs="Times New Roman"/>
          <w:bCs/>
          <w:szCs w:val="28"/>
          <w:lang w:val="uk-UA"/>
        </w:rPr>
      </w:pPr>
      <w:r w:rsidRPr="00F042CB">
        <w:rPr>
          <w:rFonts w:eastAsia="Calibri" w:cs="Times New Roman"/>
          <w:bCs/>
          <w:szCs w:val="28"/>
          <w:lang w:val="uk-UA"/>
        </w:rPr>
        <w:t>Частина учнів допустила помилки обчислювального характеру, але це, швидше за все, обумовлено неуважністю і поспіхом.</w:t>
      </w:r>
    </w:p>
    <w:p w:rsidR="00D02C6C" w:rsidRDefault="00D02C6C" w:rsidP="00D02C6C">
      <w:pPr>
        <w:spacing w:line="360" w:lineRule="auto"/>
        <w:jc w:val="both"/>
        <w:rPr>
          <w:rFonts w:eastAsia="Calibri" w:cs="Times New Roman"/>
          <w:bCs/>
          <w:szCs w:val="28"/>
          <w:lang w:val="uk-UA"/>
        </w:rPr>
      </w:pPr>
    </w:p>
    <w:p w:rsidR="00D02C6C" w:rsidRDefault="00D02C6C" w:rsidP="00D02C6C">
      <w:pPr>
        <w:spacing w:line="360" w:lineRule="auto"/>
        <w:jc w:val="both"/>
        <w:rPr>
          <w:rFonts w:eastAsia="Calibri" w:cs="Times New Roman"/>
          <w:bCs/>
          <w:szCs w:val="28"/>
          <w:lang w:val="uk-UA"/>
        </w:rPr>
      </w:pPr>
    </w:p>
    <w:p w:rsidR="00D02C6C" w:rsidRDefault="00D02C6C" w:rsidP="00D02C6C">
      <w:pPr>
        <w:spacing w:line="360" w:lineRule="auto"/>
        <w:jc w:val="both"/>
        <w:rPr>
          <w:rFonts w:eastAsia="Calibri" w:cs="Times New Roman"/>
          <w:bCs/>
          <w:szCs w:val="28"/>
          <w:lang w:val="uk-UA"/>
        </w:rPr>
      </w:pPr>
    </w:p>
    <w:p w:rsidR="005647B6" w:rsidRPr="0010588D" w:rsidRDefault="005647B6" w:rsidP="00D02C6C">
      <w:pPr>
        <w:spacing w:line="360" w:lineRule="auto"/>
        <w:jc w:val="both"/>
        <w:rPr>
          <w:rFonts w:eastAsia="Times New Roman" w:cs="Times New Roman"/>
          <w:szCs w:val="28"/>
          <w:lang w:val="uk-UA" w:eastAsia="ru-RU"/>
        </w:rPr>
      </w:pPr>
      <w:r w:rsidRPr="0010588D">
        <w:rPr>
          <w:rFonts w:eastAsia="Times New Roman" w:cs="Times New Roman"/>
          <w:szCs w:val="28"/>
          <w:lang w:val="uk-UA" w:eastAsia="ru-RU"/>
        </w:rPr>
        <w:lastRenderedPageBreak/>
        <w:t>Маємо такі результати:</w:t>
      </w:r>
    </w:p>
    <w:p w:rsidR="00BC361D" w:rsidRDefault="00BC361D">
      <w:pPr>
        <w:rPr>
          <w:lang w:val="uk-UA"/>
        </w:rPr>
      </w:pPr>
    </w:p>
    <w:tbl>
      <w:tblPr>
        <w:tblStyle w:val="a4"/>
        <w:tblW w:w="11023" w:type="dxa"/>
        <w:tblLayout w:type="fixed"/>
        <w:tblLook w:val="04A0" w:firstRow="1" w:lastRow="0" w:firstColumn="1" w:lastColumn="0" w:noHBand="0" w:noVBand="1"/>
      </w:tblPr>
      <w:tblGrid>
        <w:gridCol w:w="1023"/>
        <w:gridCol w:w="564"/>
        <w:gridCol w:w="648"/>
        <w:gridCol w:w="567"/>
        <w:gridCol w:w="708"/>
        <w:gridCol w:w="567"/>
        <w:gridCol w:w="709"/>
        <w:gridCol w:w="709"/>
        <w:gridCol w:w="709"/>
        <w:gridCol w:w="708"/>
        <w:gridCol w:w="709"/>
        <w:gridCol w:w="709"/>
        <w:gridCol w:w="850"/>
        <w:gridCol w:w="992"/>
        <w:gridCol w:w="851"/>
      </w:tblGrid>
      <w:tr w:rsidR="00DC14D4" w:rsidRPr="00C16AEE" w:rsidTr="006700A6">
        <w:tc>
          <w:tcPr>
            <w:tcW w:w="1023" w:type="dxa"/>
            <w:vMerge w:val="restart"/>
          </w:tcPr>
          <w:p w:rsidR="00DC14D4" w:rsidRPr="00C16AEE" w:rsidRDefault="00DC14D4" w:rsidP="006700A6">
            <w:pPr>
              <w:jc w:val="center"/>
              <w:rPr>
                <w:b/>
                <w:sz w:val="22"/>
                <w:lang w:val="uk-UA"/>
              </w:rPr>
            </w:pPr>
            <w:r w:rsidRPr="00C16AEE">
              <w:rPr>
                <w:b/>
                <w:sz w:val="22"/>
                <w:lang w:val="uk-UA"/>
              </w:rPr>
              <w:t>Клас</w:t>
            </w:r>
          </w:p>
        </w:tc>
        <w:tc>
          <w:tcPr>
            <w:tcW w:w="564" w:type="dxa"/>
            <w:vMerge w:val="restart"/>
          </w:tcPr>
          <w:p w:rsidR="00DC14D4" w:rsidRPr="00C16AEE" w:rsidRDefault="00DC14D4" w:rsidP="006700A6">
            <w:pPr>
              <w:jc w:val="center"/>
              <w:rPr>
                <w:b/>
                <w:sz w:val="22"/>
                <w:lang w:val="uk-UA"/>
              </w:rPr>
            </w:pPr>
            <w:r w:rsidRPr="00C16AEE">
              <w:rPr>
                <w:b/>
                <w:sz w:val="22"/>
                <w:lang w:val="uk-UA"/>
              </w:rPr>
              <w:t>Кількість учнів</w:t>
            </w:r>
          </w:p>
        </w:tc>
        <w:tc>
          <w:tcPr>
            <w:tcW w:w="648" w:type="dxa"/>
            <w:vMerge w:val="restart"/>
          </w:tcPr>
          <w:p w:rsidR="00DC14D4" w:rsidRPr="00C16AEE" w:rsidRDefault="00DC14D4" w:rsidP="006700A6">
            <w:pPr>
              <w:jc w:val="center"/>
              <w:rPr>
                <w:b/>
                <w:sz w:val="22"/>
                <w:lang w:val="uk-UA"/>
              </w:rPr>
            </w:pPr>
            <w:r>
              <w:rPr>
                <w:b/>
                <w:sz w:val="22"/>
                <w:lang w:val="uk-UA"/>
              </w:rPr>
              <w:t>Писали</w:t>
            </w:r>
          </w:p>
        </w:tc>
        <w:tc>
          <w:tcPr>
            <w:tcW w:w="1275" w:type="dxa"/>
            <w:gridSpan w:val="2"/>
          </w:tcPr>
          <w:p w:rsidR="00DC14D4" w:rsidRPr="00C16AEE" w:rsidRDefault="00DC14D4" w:rsidP="006700A6">
            <w:pPr>
              <w:jc w:val="center"/>
              <w:rPr>
                <w:b/>
                <w:sz w:val="22"/>
                <w:lang w:val="uk-UA"/>
              </w:rPr>
            </w:pPr>
            <w:r w:rsidRPr="00C16AEE">
              <w:rPr>
                <w:b/>
                <w:sz w:val="22"/>
                <w:lang w:val="uk-UA"/>
              </w:rPr>
              <w:t>Початковий рівень</w:t>
            </w:r>
          </w:p>
        </w:tc>
        <w:tc>
          <w:tcPr>
            <w:tcW w:w="1276" w:type="dxa"/>
            <w:gridSpan w:val="2"/>
          </w:tcPr>
          <w:p w:rsidR="00DC14D4" w:rsidRPr="00C16AEE" w:rsidRDefault="00DC14D4" w:rsidP="006700A6">
            <w:pPr>
              <w:jc w:val="center"/>
              <w:rPr>
                <w:b/>
                <w:sz w:val="22"/>
                <w:lang w:val="uk-UA"/>
              </w:rPr>
            </w:pPr>
            <w:r w:rsidRPr="00C16AEE">
              <w:rPr>
                <w:b/>
                <w:sz w:val="22"/>
                <w:lang w:val="uk-UA"/>
              </w:rPr>
              <w:t>Середній рівень</w:t>
            </w:r>
          </w:p>
        </w:tc>
        <w:tc>
          <w:tcPr>
            <w:tcW w:w="1418" w:type="dxa"/>
            <w:gridSpan w:val="2"/>
          </w:tcPr>
          <w:p w:rsidR="00DC14D4" w:rsidRPr="00C16AEE" w:rsidRDefault="00DC14D4" w:rsidP="006700A6">
            <w:pPr>
              <w:jc w:val="center"/>
              <w:rPr>
                <w:b/>
                <w:sz w:val="22"/>
                <w:lang w:val="uk-UA"/>
              </w:rPr>
            </w:pPr>
            <w:proofErr w:type="spellStart"/>
            <w:r w:rsidRPr="00C16AEE">
              <w:rPr>
                <w:b/>
                <w:sz w:val="22"/>
                <w:lang w:val="uk-UA"/>
              </w:rPr>
              <w:t>Достаній</w:t>
            </w:r>
            <w:proofErr w:type="spellEnd"/>
            <w:r w:rsidRPr="00C16AEE">
              <w:rPr>
                <w:b/>
                <w:sz w:val="22"/>
                <w:lang w:val="uk-UA"/>
              </w:rPr>
              <w:t xml:space="preserve"> рівень</w:t>
            </w:r>
          </w:p>
        </w:tc>
        <w:tc>
          <w:tcPr>
            <w:tcW w:w="1417" w:type="dxa"/>
            <w:gridSpan w:val="2"/>
          </w:tcPr>
          <w:p w:rsidR="00DC14D4" w:rsidRPr="00C16AEE" w:rsidRDefault="00DC14D4" w:rsidP="006700A6">
            <w:pPr>
              <w:jc w:val="center"/>
              <w:rPr>
                <w:b/>
                <w:sz w:val="22"/>
                <w:lang w:val="uk-UA"/>
              </w:rPr>
            </w:pPr>
            <w:r w:rsidRPr="00C16AEE">
              <w:rPr>
                <w:b/>
                <w:sz w:val="22"/>
                <w:lang w:val="uk-UA"/>
              </w:rPr>
              <w:t>Високий рівень</w:t>
            </w:r>
          </w:p>
        </w:tc>
        <w:tc>
          <w:tcPr>
            <w:tcW w:w="1559" w:type="dxa"/>
            <w:gridSpan w:val="2"/>
          </w:tcPr>
          <w:p w:rsidR="00DC14D4" w:rsidRPr="00C16AEE" w:rsidRDefault="00DC14D4" w:rsidP="006700A6">
            <w:pPr>
              <w:jc w:val="center"/>
              <w:rPr>
                <w:b/>
                <w:sz w:val="22"/>
                <w:lang w:val="uk-UA"/>
              </w:rPr>
            </w:pPr>
            <w:r w:rsidRPr="00C16AEE">
              <w:rPr>
                <w:b/>
                <w:sz w:val="22"/>
                <w:lang w:val="uk-UA"/>
              </w:rPr>
              <w:t>Успішність</w:t>
            </w:r>
          </w:p>
        </w:tc>
        <w:tc>
          <w:tcPr>
            <w:tcW w:w="1843" w:type="dxa"/>
            <w:gridSpan w:val="2"/>
          </w:tcPr>
          <w:p w:rsidR="00DC14D4" w:rsidRPr="00C16AEE" w:rsidRDefault="00DC14D4" w:rsidP="006700A6">
            <w:pPr>
              <w:jc w:val="center"/>
              <w:rPr>
                <w:b/>
                <w:sz w:val="22"/>
                <w:lang w:val="uk-UA"/>
              </w:rPr>
            </w:pPr>
            <w:r w:rsidRPr="00C16AEE">
              <w:rPr>
                <w:b/>
                <w:sz w:val="22"/>
                <w:lang w:val="uk-UA"/>
              </w:rPr>
              <w:t>Якість знань</w:t>
            </w:r>
          </w:p>
        </w:tc>
      </w:tr>
      <w:tr w:rsidR="00DC14D4" w:rsidRPr="00C16AEE" w:rsidTr="006700A6">
        <w:trPr>
          <w:cantSplit/>
          <w:trHeight w:val="1134"/>
        </w:trPr>
        <w:tc>
          <w:tcPr>
            <w:tcW w:w="1023" w:type="dxa"/>
            <w:vMerge/>
          </w:tcPr>
          <w:p w:rsidR="00DC14D4" w:rsidRPr="00C16AEE" w:rsidRDefault="00DC14D4" w:rsidP="006700A6">
            <w:pPr>
              <w:rPr>
                <w:b/>
                <w:sz w:val="22"/>
                <w:lang w:val="uk-UA"/>
              </w:rPr>
            </w:pPr>
          </w:p>
        </w:tc>
        <w:tc>
          <w:tcPr>
            <w:tcW w:w="564" w:type="dxa"/>
            <w:vMerge/>
          </w:tcPr>
          <w:p w:rsidR="00DC14D4" w:rsidRPr="00C16AEE" w:rsidRDefault="00DC14D4" w:rsidP="006700A6">
            <w:pPr>
              <w:rPr>
                <w:b/>
                <w:sz w:val="22"/>
                <w:lang w:val="uk-UA"/>
              </w:rPr>
            </w:pPr>
          </w:p>
        </w:tc>
        <w:tc>
          <w:tcPr>
            <w:tcW w:w="648" w:type="dxa"/>
            <w:vMerge/>
          </w:tcPr>
          <w:p w:rsidR="00DC14D4" w:rsidRPr="00C16AEE" w:rsidRDefault="00DC14D4" w:rsidP="006700A6">
            <w:pPr>
              <w:rPr>
                <w:b/>
                <w:sz w:val="22"/>
                <w:lang w:val="uk-UA"/>
              </w:rPr>
            </w:pPr>
          </w:p>
        </w:tc>
        <w:tc>
          <w:tcPr>
            <w:tcW w:w="567" w:type="dxa"/>
            <w:textDirection w:val="btLr"/>
          </w:tcPr>
          <w:p w:rsidR="00DC14D4" w:rsidRPr="00C16AEE" w:rsidRDefault="00DC14D4" w:rsidP="006700A6">
            <w:pPr>
              <w:ind w:left="113" w:right="113"/>
              <w:jc w:val="center"/>
              <w:rPr>
                <w:b/>
                <w:sz w:val="20"/>
                <w:szCs w:val="20"/>
                <w:lang w:val="uk-UA"/>
              </w:rPr>
            </w:pPr>
            <w:r w:rsidRPr="00C16AEE">
              <w:rPr>
                <w:b/>
                <w:sz w:val="20"/>
                <w:szCs w:val="20"/>
                <w:lang w:val="uk-UA"/>
              </w:rPr>
              <w:t>Кількість учнів</w:t>
            </w:r>
          </w:p>
        </w:tc>
        <w:tc>
          <w:tcPr>
            <w:tcW w:w="708" w:type="dxa"/>
            <w:textDirection w:val="btLr"/>
          </w:tcPr>
          <w:p w:rsidR="00DC14D4" w:rsidRPr="00C16AEE" w:rsidRDefault="00DC14D4" w:rsidP="006700A6">
            <w:pPr>
              <w:ind w:left="113" w:right="113"/>
              <w:jc w:val="center"/>
              <w:rPr>
                <w:b/>
                <w:sz w:val="22"/>
                <w:lang w:val="uk-UA"/>
              </w:rPr>
            </w:pPr>
            <w:r w:rsidRPr="00C16AEE">
              <w:rPr>
                <w:b/>
                <w:sz w:val="22"/>
                <w:lang w:val="uk-UA"/>
              </w:rPr>
              <w:t>%</w:t>
            </w:r>
          </w:p>
        </w:tc>
        <w:tc>
          <w:tcPr>
            <w:tcW w:w="567" w:type="dxa"/>
            <w:textDirection w:val="btLr"/>
          </w:tcPr>
          <w:p w:rsidR="00DC14D4" w:rsidRPr="00C16AEE" w:rsidRDefault="00DC14D4" w:rsidP="006700A6">
            <w:pPr>
              <w:ind w:left="113" w:right="113"/>
              <w:jc w:val="center"/>
              <w:rPr>
                <w:b/>
                <w:sz w:val="20"/>
                <w:szCs w:val="20"/>
                <w:lang w:val="uk-UA"/>
              </w:rPr>
            </w:pPr>
            <w:r w:rsidRPr="00C16AEE">
              <w:rPr>
                <w:b/>
                <w:sz w:val="20"/>
                <w:szCs w:val="20"/>
                <w:lang w:val="uk-UA"/>
              </w:rPr>
              <w:t>Кількість учнів</w:t>
            </w:r>
          </w:p>
        </w:tc>
        <w:tc>
          <w:tcPr>
            <w:tcW w:w="709" w:type="dxa"/>
            <w:textDirection w:val="btLr"/>
          </w:tcPr>
          <w:p w:rsidR="00DC14D4" w:rsidRPr="00C16AEE" w:rsidRDefault="00DC14D4" w:rsidP="006700A6">
            <w:pPr>
              <w:ind w:left="113" w:right="113"/>
              <w:jc w:val="center"/>
              <w:rPr>
                <w:b/>
                <w:sz w:val="22"/>
                <w:lang w:val="uk-UA"/>
              </w:rPr>
            </w:pPr>
            <w:r w:rsidRPr="00C16AEE">
              <w:rPr>
                <w:b/>
                <w:sz w:val="22"/>
                <w:lang w:val="uk-UA"/>
              </w:rPr>
              <w:t>%</w:t>
            </w:r>
          </w:p>
        </w:tc>
        <w:tc>
          <w:tcPr>
            <w:tcW w:w="709" w:type="dxa"/>
            <w:textDirection w:val="btLr"/>
          </w:tcPr>
          <w:p w:rsidR="00DC14D4" w:rsidRPr="00C16AEE" w:rsidRDefault="00DC14D4" w:rsidP="006700A6">
            <w:pPr>
              <w:ind w:left="113" w:right="113"/>
              <w:jc w:val="center"/>
              <w:rPr>
                <w:b/>
                <w:sz w:val="20"/>
                <w:szCs w:val="20"/>
                <w:lang w:val="uk-UA"/>
              </w:rPr>
            </w:pPr>
            <w:r w:rsidRPr="00C16AEE">
              <w:rPr>
                <w:b/>
                <w:sz w:val="20"/>
                <w:szCs w:val="20"/>
                <w:lang w:val="uk-UA"/>
              </w:rPr>
              <w:t>Кількість учнів</w:t>
            </w:r>
          </w:p>
        </w:tc>
        <w:tc>
          <w:tcPr>
            <w:tcW w:w="709" w:type="dxa"/>
            <w:textDirection w:val="btLr"/>
          </w:tcPr>
          <w:p w:rsidR="00DC14D4" w:rsidRPr="00C16AEE" w:rsidRDefault="00DC14D4" w:rsidP="006700A6">
            <w:pPr>
              <w:ind w:left="113" w:right="113"/>
              <w:jc w:val="center"/>
              <w:rPr>
                <w:b/>
                <w:sz w:val="22"/>
                <w:lang w:val="uk-UA"/>
              </w:rPr>
            </w:pPr>
            <w:r w:rsidRPr="00C16AEE">
              <w:rPr>
                <w:b/>
                <w:sz w:val="22"/>
                <w:lang w:val="uk-UA"/>
              </w:rPr>
              <w:t>%</w:t>
            </w:r>
          </w:p>
        </w:tc>
        <w:tc>
          <w:tcPr>
            <w:tcW w:w="708" w:type="dxa"/>
            <w:textDirection w:val="btLr"/>
          </w:tcPr>
          <w:p w:rsidR="00DC14D4" w:rsidRPr="00C16AEE" w:rsidRDefault="00DC14D4" w:rsidP="006700A6">
            <w:pPr>
              <w:ind w:left="113" w:right="113"/>
              <w:jc w:val="center"/>
              <w:rPr>
                <w:b/>
                <w:sz w:val="20"/>
                <w:szCs w:val="20"/>
                <w:lang w:val="uk-UA"/>
              </w:rPr>
            </w:pPr>
            <w:r w:rsidRPr="00C16AEE">
              <w:rPr>
                <w:b/>
                <w:sz w:val="20"/>
                <w:szCs w:val="20"/>
                <w:lang w:val="uk-UA"/>
              </w:rPr>
              <w:t>Кількість учнів</w:t>
            </w:r>
          </w:p>
        </w:tc>
        <w:tc>
          <w:tcPr>
            <w:tcW w:w="709" w:type="dxa"/>
            <w:textDirection w:val="btLr"/>
          </w:tcPr>
          <w:p w:rsidR="00DC14D4" w:rsidRPr="00C16AEE" w:rsidRDefault="00DC14D4" w:rsidP="006700A6">
            <w:pPr>
              <w:ind w:left="113" w:right="113"/>
              <w:jc w:val="center"/>
              <w:rPr>
                <w:b/>
                <w:sz w:val="22"/>
                <w:lang w:val="uk-UA"/>
              </w:rPr>
            </w:pPr>
            <w:r w:rsidRPr="00C16AEE">
              <w:rPr>
                <w:b/>
                <w:sz w:val="22"/>
                <w:lang w:val="uk-UA"/>
              </w:rPr>
              <w:t>%</w:t>
            </w:r>
          </w:p>
        </w:tc>
        <w:tc>
          <w:tcPr>
            <w:tcW w:w="709" w:type="dxa"/>
            <w:textDirection w:val="btLr"/>
          </w:tcPr>
          <w:p w:rsidR="00DC14D4" w:rsidRPr="00C16AEE" w:rsidRDefault="00DC14D4" w:rsidP="006700A6">
            <w:pPr>
              <w:ind w:left="113" w:right="113"/>
              <w:jc w:val="center"/>
              <w:rPr>
                <w:b/>
                <w:sz w:val="20"/>
                <w:szCs w:val="20"/>
                <w:lang w:val="uk-UA"/>
              </w:rPr>
            </w:pPr>
            <w:r w:rsidRPr="00C16AEE">
              <w:rPr>
                <w:b/>
                <w:sz w:val="20"/>
                <w:szCs w:val="20"/>
                <w:lang w:val="uk-UA"/>
              </w:rPr>
              <w:t>Кількість учнів</w:t>
            </w:r>
          </w:p>
        </w:tc>
        <w:tc>
          <w:tcPr>
            <w:tcW w:w="850" w:type="dxa"/>
            <w:textDirection w:val="btLr"/>
          </w:tcPr>
          <w:p w:rsidR="00DC14D4" w:rsidRPr="00C16AEE" w:rsidRDefault="00DC14D4" w:rsidP="006700A6">
            <w:pPr>
              <w:ind w:left="113" w:right="113"/>
              <w:jc w:val="center"/>
              <w:rPr>
                <w:b/>
                <w:sz w:val="22"/>
                <w:lang w:val="uk-UA"/>
              </w:rPr>
            </w:pPr>
            <w:r w:rsidRPr="00C16AEE">
              <w:rPr>
                <w:b/>
                <w:sz w:val="22"/>
                <w:lang w:val="uk-UA"/>
              </w:rPr>
              <w:t>%</w:t>
            </w:r>
          </w:p>
        </w:tc>
        <w:tc>
          <w:tcPr>
            <w:tcW w:w="992" w:type="dxa"/>
            <w:textDirection w:val="btLr"/>
          </w:tcPr>
          <w:p w:rsidR="00DC14D4" w:rsidRPr="00C16AEE" w:rsidRDefault="00DC14D4" w:rsidP="006700A6">
            <w:pPr>
              <w:ind w:left="113" w:right="113"/>
              <w:jc w:val="center"/>
              <w:rPr>
                <w:b/>
                <w:sz w:val="20"/>
                <w:szCs w:val="20"/>
                <w:lang w:val="uk-UA"/>
              </w:rPr>
            </w:pPr>
            <w:r w:rsidRPr="00C16AEE">
              <w:rPr>
                <w:b/>
                <w:sz w:val="20"/>
                <w:szCs w:val="20"/>
                <w:lang w:val="uk-UA"/>
              </w:rPr>
              <w:t>Кількість учнів</w:t>
            </w:r>
          </w:p>
        </w:tc>
        <w:tc>
          <w:tcPr>
            <w:tcW w:w="851" w:type="dxa"/>
            <w:textDirection w:val="btLr"/>
          </w:tcPr>
          <w:p w:rsidR="00DC14D4" w:rsidRPr="00C16AEE" w:rsidRDefault="00DC14D4" w:rsidP="006700A6">
            <w:pPr>
              <w:ind w:left="113" w:right="113"/>
              <w:jc w:val="center"/>
              <w:rPr>
                <w:b/>
                <w:sz w:val="22"/>
                <w:lang w:val="uk-UA"/>
              </w:rPr>
            </w:pPr>
            <w:r w:rsidRPr="00C16AEE">
              <w:rPr>
                <w:b/>
                <w:sz w:val="22"/>
                <w:lang w:val="uk-UA"/>
              </w:rPr>
              <w:t>%</w:t>
            </w:r>
          </w:p>
        </w:tc>
      </w:tr>
      <w:tr w:rsidR="007E4847" w:rsidRPr="00C16AEE" w:rsidTr="007A1F61">
        <w:tc>
          <w:tcPr>
            <w:tcW w:w="1023" w:type="dxa"/>
          </w:tcPr>
          <w:p w:rsidR="007E4847" w:rsidRPr="00C16AEE" w:rsidRDefault="007E4847" w:rsidP="006700A6">
            <w:pPr>
              <w:spacing w:line="360" w:lineRule="auto"/>
              <w:rPr>
                <w:rFonts w:eastAsia="Calibri"/>
                <w:b/>
                <w:sz w:val="22"/>
                <w:lang w:val="uk-UA"/>
              </w:rPr>
            </w:pPr>
            <w:r>
              <w:rPr>
                <w:rFonts w:eastAsia="Calibri"/>
                <w:b/>
                <w:sz w:val="22"/>
                <w:lang w:val="uk-UA"/>
              </w:rPr>
              <w:t>11-</w:t>
            </w:r>
            <w:r w:rsidRPr="00C16AEE">
              <w:rPr>
                <w:rFonts w:eastAsia="Calibri"/>
                <w:b/>
                <w:sz w:val="22"/>
                <w:lang w:val="uk-UA"/>
              </w:rPr>
              <w:t>А</w:t>
            </w:r>
          </w:p>
        </w:tc>
        <w:tc>
          <w:tcPr>
            <w:tcW w:w="564" w:type="dxa"/>
            <w:vAlign w:val="bottom"/>
          </w:tcPr>
          <w:p w:rsidR="007E4847" w:rsidRDefault="007E4847">
            <w:pPr>
              <w:rPr>
                <w:rFonts w:ascii="Calibri" w:hAnsi="Calibri" w:cs="Calibri"/>
                <w:color w:val="000000"/>
                <w:sz w:val="22"/>
              </w:rPr>
            </w:pPr>
            <w:r>
              <w:rPr>
                <w:rFonts w:ascii="Calibri" w:hAnsi="Calibri" w:cs="Calibri"/>
                <w:color w:val="000000"/>
                <w:sz w:val="22"/>
              </w:rPr>
              <w:t>28</w:t>
            </w:r>
          </w:p>
        </w:tc>
        <w:tc>
          <w:tcPr>
            <w:tcW w:w="648" w:type="dxa"/>
            <w:vAlign w:val="bottom"/>
          </w:tcPr>
          <w:p w:rsidR="007E4847" w:rsidRDefault="007E4847">
            <w:pPr>
              <w:jc w:val="right"/>
              <w:rPr>
                <w:rFonts w:ascii="Calibri" w:hAnsi="Calibri" w:cs="Calibri"/>
                <w:color w:val="000000"/>
                <w:sz w:val="22"/>
              </w:rPr>
            </w:pPr>
            <w:r>
              <w:rPr>
                <w:rFonts w:ascii="Calibri" w:hAnsi="Calibri" w:cs="Calibri"/>
                <w:color w:val="000000"/>
                <w:sz w:val="22"/>
              </w:rPr>
              <w:t>23</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2</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9%</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7</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30%</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11</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48%</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3</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13%</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23</w:t>
            </w:r>
          </w:p>
        </w:tc>
        <w:tc>
          <w:tcPr>
            <w:tcW w:w="850" w:type="dxa"/>
            <w:vAlign w:val="bottom"/>
          </w:tcPr>
          <w:p w:rsidR="007E4847" w:rsidRDefault="007E4847">
            <w:pPr>
              <w:jc w:val="right"/>
              <w:rPr>
                <w:rFonts w:ascii="Calibri" w:hAnsi="Calibri" w:cs="Calibri"/>
                <w:color w:val="000000"/>
                <w:sz w:val="22"/>
              </w:rPr>
            </w:pPr>
            <w:r>
              <w:rPr>
                <w:rFonts w:ascii="Calibri" w:hAnsi="Calibri" w:cs="Calibri"/>
                <w:color w:val="000000"/>
                <w:sz w:val="22"/>
              </w:rPr>
              <w:t>100%</w:t>
            </w:r>
          </w:p>
        </w:tc>
        <w:tc>
          <w:tcPr>
            <w:tcW w:w="992" w:type="dxa"/>
            <w:vAlign w:val="bottom"/>
          </w:tcPr>
          <w:p w:rsidR="007E4847" w:rsidRDefault="007E4847">
            <w:pPr>
              <w:jc w:val="right"/>
              <w:rPr>
                <w:rFonts w:ascii="Calibri" w:hAnsi="Calibri" w:cs="Calibri"/>
                <w:color w:val="000000"/>
                <w:sz w:val="22"/>
              </w:rPr>
            </w:pPr>
            <w:r>
              <w:rPr>
                <w:rFonts w:ascii="Calibri" w:hAnsi="Calibri" w:cs="Calibri"/>
                <w:color w:val="000000"/>
                <w:sz w:val="22"/>
              </w:rPr>
              <w:t>14</w:t>
            </w:r>
          </w:p>
        </w:tc>
        <w:tc>
          <w:tcPr>
            <w:tcW w:w="851" w:type="dxa"/>
            <w:vAlign w:val="bottom"/>
          </w:tcPr>
          <w:p w:rsidR="007E4847" w:rsidRDefault="007E4847">
            <w:pPr>
              <w:jc w:val="right"/>
              <w:rPr>
                <w:rFonts w:ascii="Calibri" w:hAnsi="Calibri" w:cs="Calibri"/>
                <w:color w:val="000000"/>
                <w:sz w:val="22"/>
              </w:rPr>
            </w:pPr>
            <w:r>
              <w:rPr>
                <w:rFonts w:ascii="Calibri" w:hAnsi="Calibri" w:cs="Calibri"/>
                <w:color w:val="000000"/>
                <w:sz w:val="22"/>
              </w:rPr>
              <w:t>61%</w:t>
            </w:r>
          </w:p>
        </w:tc>
      </w:tr>
      <w:tr w:rsidR="007E4847" w:rsidRPr="00C16AEE" w:rsidTr="007A1F61">
        <w:tc>
          <w:tcPr>
            <w:tcW w:w="1023" w:type="dxa"/>
          </w:tcPr>
          <w:p w:rsidR="007E4847" w:rsidRPr="00C16AEE" w:rsidRDefault="007E4847" w:rsidP="006700A6">
            <w:pPr>
              <w:spacing w:line="360" w:lineRule="auto"/>
              <w:rPr>
                <w:rFonts w:eastAsia="Calibri"/>
                <w:b/>
                <w:sz w:val="22"/>
                <w:lang w:val="uk-UA"/>
              </w:rPr>
            </w:pPr>
            <w:r>
              <w:rPr>
                <w:rFonts w:eastAsia="Calibri"/>
                <w:b/>
                <w:sz w:val="22"/>
                <w:lang w:val="uk-UA"/>
              </w:rPr>
              <w:t>11</w:t>
            </w:r>
            <w:r w:rsidRPr="00C16AEE">
              <w:rPr>
                <w:rFonts w:eastAsia="Calibri"/>
                <w:b/>
                <w:sz w:val="22"/>
                <w:lang w:val="uk-UA"/>
              </w:rPr>
              <w:t>-Б</w:t>
            </w:r>
          </w:p>
        </w:tc>
        <w:tc>
          <w:tcPr>
            <w:tcW w:w="564" w:type="dxa"/>
            <w:vAlign w:val="bottom"/>
          </w:tcPr>
          <w:p w:rsidR="007E4847" w:rsidRDefault="007E4847">
            <w:pPr>
              <w:rPr>
                <w:rFonts w:ascii="Calibri" w:hAnsi="Calibri" w:cs="Calibri"/>
                <w:color w:val="000000"/>
                <w:sz w:val="22"/>
              </w:rPr>
            </w:pPr>
            <w:r>
              <w:rPr>
                <w:rFonts w:ascii="Calibri" w:hAnsi="Calibri" w:cs="Calibri"/>
                <w:color w:val="000000"/>
                <w:sz w:val="22"/>
              </w:rPr>
              <w:t>29</w:t>
            </w:r>
          </w:p>
        </w:tc>
        <w:tc>
          <w:tcPr>
            <w:tcW w:w="648" w:type="dxa"/>
            <w:vAlign w:val="bottom"/>
          </w:tcPr>
          <w:p w:rsidR="007E4847" w:rsidRDefault="007E4847">
            <w:pPr>
              <w:jc w:val="right"/>
              <w:rPr>
                <w:rFonts w:ascii="Calibri" w:hAnsi="Calibri" w:cs="Calibri"/>
                <w:color w:val="000000"/>
                <w:sz w:val="22"/>
              </w:rPr>
            </w:pPr>
            <w:r>
              <w:rPr>
                <w:rFonts w:ascii="Calibri" w:hAnsi="Calibri" w:cs="Calibri"/>
                <w:color w:val="000000"/>
                <w:sz w:val="22"/>
              </w:rPr>
              <w:t>19</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0</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0%</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8</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41%</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9</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48%</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2</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11%</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19</w:t>
            </w:r>
          </w:p>
        </w:tc>
        <w:tc>
          <w:tcPr>
            <w:tcW w:w="850" w:type="dxa"/>
            <w:vAlign w:val="bottom"/>
          </w:tcPr>
          <w:p w:rsidR="007E4847" w:rsidRDefault="007E4847">
            <w:pPr>
              <w:jc w:val="right"/>
              <w:rPr>
                <w:rFonts w:ascii="Calibri" w:hAnsi="Calibri" w:cs="Calibri"/>
                <w:color w:val="000000"/>
                <w:sz w:val="22"/>
              </w:rPr>
            </w:pPr>
            <w:r>
              <w:rPr>
                <w:rFonts w:ascii="Calibri" w:hAnsi="Calibri" w:cs="Calibri"/>
                <w:color w:val="000000"/>
                <w:sz w:val="22"/>
              </w:rPr>
              <w:t>100%</w:t>
            </w:r>
          </w:p>
        </w:tc>
        <w:tc>
          <w:tcPr>
            <w:tcW w:w="992" w:type="dxa"/>
            <w:vAlign w:val="bottom"/>
          </w:tcPr>
          <w:p w:rsidR="007E4847" w:rsidRDefault="007E4847">
            <w:pPr>
              <w:jc w:val="right"/>
              <w:rPr>
                <w:rFonts w:ascii="Calibri" w:hAnsi="Calibri" w:cs="Calibri"/>
                <w:color w:val="000000"/>
                <w:sz w:val="22"/>
              </w:rPr>
            </w:pPr>
            <w:r>
              <w:rPr>
                <w:rFonts w:ascii="Calibri" w:hAnsi="Calibri" w:cs="Calibri"/>
                <w:color w:val="000000"/>
                <w:sz w:val="22"/>
              </w:rPr>
              <w:t>11</w:t>
            </w:r>
          </w:p>
        </w:tc>
        <w:tc>
          <w:tcPr>
            <w:tcW w:w="851" w:type="dxa"/>
            <w:vAlign w:val="bottom"/>
          </w:tcPr>
          <w:p w:rsidR="007E4847" w:rsidRDefault="007E4847">
            <w:pPr>
              <w:jc w:val="right"/>
              <w:rPr>
                <w:rFonts w:ascii="Calibri" w:hAnsi="Calibri" w:cs="Calibri"/>
                <w:color w:val="000000"/>
                <w:sz w:val="22"/>
              </w:rPr>
            </w:pPr>
            <w:r>
              <w:rPr>
                <w:rFonts w:ascii="Calibri" w:hAnsi="Calibri" w:cs="Calibri"/>
                <w:color w:val="000000"/>
                <w:sz w:val="22"/>
              </w:rPr>
              <w:t>59%</w:t>
            </w:r>
          </w:p>
        </w:tc>
      </w:tr>
      <w:tr w:rsidR="007E4847" w:rsidRPr="00C16AEE" w:rsidTr="007A1F61">
        <w:trPr>
          <w:trHeight w:val="204"/>
        </w:trPr>
        <w:tc>
          <w:tcPr>
            <w:tcW w:w="1023" w:type="dxa"/>
          </w:tcPr>
          <w:p w:rsidR="007E4847" w:rsidRPr="00C16AEE" w:rsidRDefault="007E4847" w:rsidP="006700A6">
            <w:pPr>
              <w:spacing w:line="360" w:lineRule="auto"/>
              <w:rPr>
                <w:rFonts w:eastAsia="Calibri"/>
                <w:b/>
                <w:sz w:val="22"/>
                <w:lang w:val="uk-UA"/>
              </w:rPr>
            </w:pPr>
            <w:r>
              <w:rPr>
                <w:rFonts w:eastAsia="Calibri"/>
                <w:b/>
                <w:sz w:val="22"/>
                <w:lang w:val="uk-UA"/>
              </w:rPr>
              <w:t>11</w:t>
            </w:r>
            <w:r w:rsidRPr="00C16AEE">
              <w:rPr>
                <w:rFonts w:eastAsia="Calibri"/>
                <w:b/>
                <w:sz w:val="22"/>
                <w:lang w:val="uk-UA"/>
              </w:rPr>
              <w:t>-В</w:t>
            </w:r>
          </w:p>
        </w:tc>
        <w:tc>
          <w:tcPr>
            <w:tcW w:w="564" w:type="dxa"/>
            <w:vAlign w:val="bottom"/>
          </w:tcPr>
          <w:p w:rsidR="007E4847" w:rsidRDefault="007E4847">
            <w:pPr>
              <w:rPr>
                <w:rFonts w:ascii="Calibri" w:hAnsi="Calibri" w:cs="Calibri"/>
                <w:color w:val="000000"/>
                <w:sz w:val="22"/>
              </w:rPr>
            </w:pPr>
            <w:r>
              <w:rPr>
                <w:rFonts w:ascii="Calibri" w:hAnsi="Calibri" w:cs="Calibri"/>
                <w:color w:val="000000"/>
                <w:sz w:val="22"/>
              </w:rPr>
              <w:t>24</w:t>
            </w:r>
          </w:p>
        </w:tc>
        <w:tc>
          <w:tcPr>
            <w:tcW w:w="648" w:type="dxa"/>
            <w:vAlign w:val="bottom"/>
          </w:tcPr>
          <w:p w:rsidR="007E4847" w:rsidRDefault="007E4847">
            <w:pPr>
              <w:jc w:val="right"/>
              <w:rPr>
                <w:rFonts w:ascii="Calibri" w:hAnsi="Calibri" w:cs="Calibri"/>
                <w:color w:val="000000"/>
                <w:sz w:val="22"/>
              </w:rPr>
            </w:pPr>
            <w:r>
              <w:rPr>
                <w:rFonts w:ascii="Calibri" w:hAnsi="Calibri" w:cs="Calibri"/>
                <w:color w:val="000000"/>
                <w:sz w:val="22"/>
              </w:rPr>
              <w:t>19</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0</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0%</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5</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28%</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10</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50%</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4</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22%</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19</w:t>
            </w:r>
          </w:p>
        </w:tc>
        <w:tc>
          <w:tcPr>
            <w:tcW w:w="850" w:type="dxa"/>
            <w:vAlign w:val="bottom"/>
          </w:tcPr>
          <w:p w:rsidR="007E4847" w:rsidRDefault="007E4847">
            <w:pPr>
              <w:jc w:val="right"/>
              <w:rPr>
                <w:rFonts w:ascii="Calibri" w:hAnsi="Calibri" w:cs="Calibri"/>
                <w:color w:val="000000"/>
                <w:sz w:val="22"/>
              </w:rPr>
            </w:pPr>
            <w:r>
              <w:rPr>
                <w:rFonts w:ascii="Calibri" w:hAnsi="Calibri" w:cs="Calibri"/>
                <w:color w:val="000000"/>
                <w:sz w:val="22"/>
              </w:rPr>
              <w:t>100%</w:t>
            </w:r>
          </w:p>
        </w:tc>
        <w:tc>
          <w:tcPr>
            <w:tcW w:w="992" w:type="dxa"/>
            <w:vAlign w:val="bottom"/>
          </w:tcPr>
          <w:p w:rsidR="007E4847" w:rsidRDefault="007E4847">
            <w:pPr>
              <w:jc w:val="right"/>
              <w:rPr>
                <w:rFonts w:ascii="Calibri" w:hAnsi="Calibri" w:cs="Calibri"/>
                <w:color w:val="000000"/>
                <w:sz w:val="22"/>
              </w:rPr>
            </w:pPr>
            <w:r>
              <w:rPr>
                <w:rFonts w:ascii="Calibri" w:hAnsi="Calibri" w:cs="Calibri"/>
                <w:color w:val="000000"/>
                <w:sz w:val="22"/>
              </w:rPr>
              <w:t>14</w:t>
            </w:r>
          </w:p>
        </w:tc>
        <w:tc>
          <w:tcPr>
            <w:tcW w:w="851" w:type="dxa"/>
            <w:vAlign w:val="bottom"/>
          </w:tcPr>
          <w:p w:rsidR="007E4847" w:rsidRDefault="007E4847">
            <w:pPr>
              <w:jc w:val="right"/>
              <w:rPr>
                <w:rFonts w:ascii="Calibri" w:hAnsi="Calibri" w:cs="Calibri"/>
                <w:color w:val="000000"/>
                <w:sz w:val="22"/>
              </w:rPr>
            </w:pPr>
            <w:r>
              <w:rPr>
                <w:rFonts w:ascii="Calibri" w:hAnsi="Calibri" w:cs="Calibri"/>
                <w:color w:val="000000"/>
                <w:sz w:val="22"/>
              </w:rPr>
              <w:t>72%</w:t>
            </w:r>
          </w:p>
        </w:tc>
      </w:tr>
      <w:tr w:rsidR="007E4847" w:rsidRPr="00C16AEE" w:rsidTr="007A1F61">
        <w:trPr>
          <w:trHeight w:val="168"/>
        </w:trPr>
        <w:tc>
          <w:tcPr>
            <w:tcW w:w="1023" w:type="dxa"/>
          </w:tcPr>
          <w:p w:rsidR="007E4847" w:rsidRDefault="007E4847" w:rsidP="006700A6">
            <w:pPr>
              <w:spacing w:line="360" w:lineRule="auto"/>
              <w:rPr>
                <w:rFonts w:eastAsia="Calibri"/>
                <w:b/>
                <w:sz w:val="22"/>
                <w:lang w:val="uk-UA"/>
              </w:rPr>
            </w:pPr>
            <w:r>
              <w:rPr>
                <w:rFonts w:eastAsia="Calibri"/>
                <w:b/>
                <w:sz w:val="22"/>
                <w:lang w:val="uk-UA"/>
              </w:rPr>
              <w:t>11-Г</w:t>
            </w:r>
          </w:p>
        </w:tc>
        <w:tc>
          <w:tcPr>
            <w:tcW w:w="564" w:type="dxa"/>
            <w:vAlign w:val="bottom"/>
          </w:tcPr>
          <w:p w:rsidR="007E4847" w:rsidRDefault="007E4847">
            <w:pPr>
              <w:rPr>
                <w:rFonts w:ascii="Calibri" w:hAnsi="Calibri" w:cs="Calibri"/>
                <w:color w:val="000000"/>
                <w:sz w:val="22"/>
              </w:rPr>
            </w:pPr>
            <w:r>
              <w:rPr>
                <w:rFonts w:ascii="Calibri" w:hAnsi="Calibri" w:cs="Calibri"/>
                <w:color w:val="000000"/>
                <w:sz w:val="22"/>
              </w:rPr>
              <w:t>22</w:t>
            </w:r>
          </w:p>
        </w:tc>
        <w:tc>
          <w:tcPr>
            <w:tcW w:w="648" w:type="dxa"/>
            <w:vAlign w:val="bottom"/>
          </w:tcPr>
          <w:p w:rsidR="007E4847" w:rsidRDefault="007E4847">
            <w:pPr>
              <w:jc w:val="right"/>
              <w:rPr>
                <w:rFonts w:ascii="Calibri" w:hAnsi="Calibri" w:cs="Calibri"/>
                <w:color w:val="000000"/>
                <w:sz w:val="22"/>
              </w:rPr>
            </w:pPr>
            <w:r>
              <w:rPr>
                <w:rFonts w:ascii="Calibri" w:hAnsi="Calibri" w:cs="Calibri"/>
                <w:color w:val="000000"/>
                <w:sz w:val="22"/>
              </w:rPr>
              <w:t>12</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0</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0%</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5</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42%</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5</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42%</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2</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16%</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12</w:t>
            </w:r>
          </w:p>
        </w:tc>
        <w:tc>
          <w:tcPr>
            <w:tcW w:w="850" w:type="dxa"/>
            <w:vAlign w:val="bottom"/>
          </w:tcPr>
          <w:p w:rsidR="007E4847" w:rsidRDefault="007E4847">
            <w:pPr>
              <w:jc w:val="right"/>
              <w:rPr>
                <w:rFonts w:ascii="Calibri" w:hAnsi="Calibri" w:cs="Calibri"/>
                <w:color w:val="000000"/>
                <w:sz w:val="22"/>
              </w:rPr>
            </w:pPr>
            <w:r>
              <w:rPr>
                <w:rFonts w:ascii="Calibri" w:hAnsi="Calibri" w:cs="Calibri"/>
                <w:color w:val="000000"/>
                <w:sz w:val="22"/>
              </w:rPr>
              <w:t>100%</w:t>
            </w:r>
          </w:p>
        </w:tc>
        <w:tc>
          <w:tcPr>
            <w:tcW w:w="992" w:type="dxa"/>
            <w:vAlign w:val="bottom"/>
          </w:tcPr>
          <w:p w:rsidR="007E4847" w:rsidRDefault="007E4847">
            <w:pPr>
              <w:jc w:val="right"/>
              <w:rPr>
                <w:rFonts w:ascii="Calibri" w:hAnsi="Calibri" w:cs="Calibri"/>
                <w:color w:val="000000"/>
                <w:sz w:val="22"/>
              </w:rPr>
            </w:pPr>
            <w:r>
              <w:rPr>
                <w:rFonts w:ascii="Calibri" w:hAnsi="Calibri" w:cs="Calibri"/>
                <w:color w:val="000000"/>
                <w:sz w:val="22"/>
              </w:rPr>
              <w:t>7</w:t>
            </w:r>
          </w:p>
        </w:tc>
        <w:tc>
          <w:tcPr>
            <w:tcW w:w="851" w:type="dxa"/>
            <w:vAlign w:val="bottom"/>
          </w:tcPr>
          <w:p w:rsidR="007E4847" w:rsidRDefault="007E4847">
            <w:pPr>
              <w:jc w:val="right"/>
              <w:rPr>
                <w:rFonts w:ascii="Calibri" w:hAnsi="Calibri" w:cs="Calibri"/>
                <w:color w:val="000000"/>
                <w:sz w:val="22"/>
              </w:rPr>
            </w:pPr>
            <w:r>
              <w:rPr>
                <w:rFonts w:ascii="Calibri" w:hAnsi="Calibri" w:cs="Calibri"/>
                <w:color w:val="000000"/>
                <w:sz w:val="22"/>
              </w:rPr>
              <w:t>58%</w:t>
            </w:r>
          </w:p>
        </w:tc>
      </w:tr>
      <w:tr w:rsidR="007E4847" w:rsidRPr="00C16AEE" w:rsidTr="007A1F61">
        <w:tc>
          <w:tcPr>
            <w:tcW w:w="1023" w:type="dxa"/>
          </w:tcPr>
          <w:p w:rsidR="007E4847" w:rsidRPr="00C16AEE" w:rsidRDefault="007E4847" w:rsidP="006700A6">
            <w:pPr>
              <w:spacing w:line="360" w:lineRule="auto"/>
              <w:rPr>
                <w:rFonts w:eastAsia="Calibri"/>
                <w:b/>
                <w:sz w:val="22"/>
                <w:lang w:val="uk-UA"/>
              </w:rPr>
            </w:pPr>
            <w:r>
              <w:rPr>
                <w:rFonts w:eastAsia="Calibri"/>
                <w:b/>
                <w:sz w:val="22"/>
                <w:lang w:val="uk-UA"/>
              </w:rPr>
              <w:t>Усього</w:t>
            </w:r>
          </w:p>
        </w:tc>
        <w:tc>
          <w:tcPr>
            <w:tcW w:w="564" w:type="dxa"/>
            <w:vAlign w:val="bottom"/>
          </w:tcPr>
          <w:p w:rsidR="007E4847" w:rsidRDefault="007E4847">
            <w:pPr>
              <w:rPr>
                <w:rFonts w:ascii="Calibri" w:hAnsi="Calibri" w:cs="Calibri"/>
                <w:color w:val="000000"/>
                <w:sz w:val="22"/>
              </w:rPr>
            </w:pPr>
            <w:r>
              <w:rPr>
                <w:rFonts w:ascii="Calibri" w:hAnsi="Calibri" w:cs="Calibri"/>
                <w:color w:val="000000"/>
                <w:sz w:val="22"/>
              </w:rPr>
              <w:t>103</w:t>
            </w:r>
          </w:p>
        </w:tc>
        <w:tc>
          <w:tcPr>
            <w:tcW w:w="648" w:type="dxa"/>
            <w:vAlign w:val="bottom"/>
          </w:tcPr>
          <w:p w:rsidR="007E4847" w:rsidRDefault="007E4847">
            <w:pPr>
              <w:jc w:val="right"/>
              <w:rPr>
                <w:rFonts w:ascii="Calibri" w:hAnsi="Calibri" w:cs="Calibri"/>
                <w:color w:val="000000"/>
                <w:sz w:val="22"/>
              </w:rPr>
            </w:pPr>
            <w:r>
              <w:rPr>
                <w:rFonts w:ascii="Calibri" w:hAnsi="Calibri" w:cs="Calibri"/>
                <w:color w:val="000000"/>
                <w:sz w:val="22"/>
              </w:rPr>
              <w:t>73</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2</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3%</w:t>
            </w:r>
          </w:p>
        </w:tc>
        <w:tc>
          <w:tcPr>
            <w:tcW w:w="567" w:type="dxa"/>
            <w:vAlign w:val="bottom"/>
          </w:tcPr>
          <w:p w:rsidR="007E4847" w:rsidRDefault="007E4847">
            <w:pPr>
              <w:jc w:val="right"/>
              <w:rPr>
                <w:rFonts w:ascii="Calibri" w:hAnsi="Calibri" w:cs="Calibri"/>
                <w:color w:val="000000"/>
                <w:sz w:val="22"/>
              </w:rPr>
            </w:pPr>
            <w:r>
              <w:rPr>
                <w:rFonts w:ascii="Calibri" w:hAnsi="Calibri" w:cs="Calibri"/>
                <w:color w:val="000000"/>
                <w:sz w:val="22"/>
              </w:rPr>
              <w:t>25</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34%</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35</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48%</w:t>
            </w:r>
          </w:p>
        </w:tc>
        <w:tc>
          <w:tcPr>
            <w:tcW w:w="708" w:type="dxa"/>
            <w:vAlign w:val="bottom"/>
          </w:tcPr>
          <w:p w:rsidR="007E4847" w:rsidRDefault="007E4847">
            <w:pPr>
              <w:jc w:val="right"/>
              <w:rPr>
                <w:rFonts w:ascii="Calibri" w:hAnsi="Calibri" w:cs="Calibri"/>
                <w:color w:val="000000"/>
                <w:sz w:val="22"/>
              </w:rPr>
            </w:pPr>
            <w:r>
              <w:rPr>
                <w:rFonts w:ascii="Calibri" w:hAnsi="Calibri" w:cs="Calibri"/>
                <w:color w:val="000000"/>
                <w:sz w:val="22"/>
              </w:rPr>
              <w:t>11</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15%</w:t>
            </w:r>
          </w:p>
        </w:tc>
        <w:tc>
          <w:tcPr>
            <w:tcW w:w="709" w:type="dxa"/>
            <w:vAlign w:val="bottom"/>
          </w:tcPr>
          <w:p w:rsidR="007E4847" w:rsidRDefault="007E4847">
            <w:pPr>
              <w:jc w:val="right"/>
              <w:rPr>
                <w:rFonts w:ascii="Calibri" w:hAnsi="Calibri" w:cs="Calibri"/>
                <w:color w:val="000000"/>
                <w:sz w:val="22"/>
              </w:rPr>
            </w:pPr>
            <w:r>
              <w:rPr>
                <w:rFonts w:ascii="Calibri" w:hAnsi="Calibri" w:cs="Calibri"/>
                <w:color w:val="000000"/>
                <w:sz w:val="22"/>
              </w:rPr>
              <w:t>73</w:t>
            </w:r>
          </w:p>
        </w:tc>
        <w:tc>
          <w:tcPr>
            <w:tcW w:w="850" w:type="dxa"/>
            <w:vAlign w:val="bottom"/>
          </w:tcPr>
          <w:p w:rsidR="007E4847" w:rsidRDefault="007E4847">
            <w:pPr>
              <w:jc w:val="right"/>
              <w:rPr>
                <w:rFonts w:ascii="Calibri" w:hAnsi="Calibri" w:cs="Calibri"/>
                <w:color w:val="000000"/>
                <w:sz w:val="22"/>
              </w:rPr>
            </w:pPr>
            <w:r>
              <w:rPr>
                <w:rFonts w:ascii="Calibri" w:hAnsi="Calibri" w:cs="Calibri"/>
                <w:color w:val="000000"/>
                <w:sz w:val="22"/>
              </w:rPr>
              <w:t>100%</w:t>
            </w:r>
          </w:p>
        </w:tc>
        <w:tc>
          <w:tcPr>
            <w:tcW w:w="992" w:type="dxa"/>
            <w:vAlign w:val="bottom"/>
          </w:tcPr>
          <w:p w:rsidR="007E4847" w:rsidRDefault="007E4847">
            <w:pPr>
              <w:jc w:val="right"/>
              <w:rPr>
                <w:rFonts w:ascii="Calibri" w:hAnsi="Calibri" w:cs="Calibri"/>
                <w:color w:val="000000"/>
                <w:sz w:val="22"/>
              </w:rPr>
            </w:pPr>
            <w:r>
              <w:rPr>
                <w:rFonts w:ascii="Calibri" w:hAnsi="Calibri" w:cs="Calibri"/>
                <w:color w:val="000000"/>
                <w:sz w:val="22"/>
              </w:rPr>
              <w:t>46</w:t>
            </w:r>
          </w:p>
        </w:tc>
        <w:tc>
          <w:tcPr>
            <w:tcW w:w="851" w:type="dxa"/>
            <w:vAlign w:val="bottom"/>
          </w:tcPr>
          <w:p w:rsidR="007E4847" w:rsidRDefault="007E4847">
            <w:pPr>
              <w:jc w:val="right"/>
              <w:rPr>
                <w:rFonts w:ascii="Calibri" w:hAnsi="Calibri" w:cs="Calibri"/>
                <w:color w:val="000000"/>
                <w:sz w:val="22"/>
              </w:rPr>
            </w:pPr>
            <w:r>
              <w:rPr>
                <w:rFonts w:ascii="Calibri" w:hAnsi="Calibri" w:cs="Calibri"/>
                <w:color w:val="000000"/>
                <w:sz w:val="22"/>
              </w:rPr>
              <w:t>63%</w:t>
            </w:r>
          </w:p>
        </w:tc>
      </w:tr>
    </w:tbl>
    <w:p w:rsidR="00693BA8" w:rsidRDefault="00693BA8">
      <w:pPr>
        <w:rPr>
          <w:lang w:val="uk-UA"/>
        </w:rPr>
      </w:pPr>
    </w:p>
    <w:p w:rsidR="00693BA8" w:rsidRDefault="00693BA8">
      <w:pPr>
        <w:rPr>
          <w:lang w:val="uk-UA"/>
        </w:rPr>
      </w:pPr>
    </w:p>
    <w:p w:rsidR="001048A5" w:rsidRDefault="007E4847">
      <w:pPr>
        <w:rPr>
          <w:lang w:val="uk-UA"/>
        </w:rPr>
      </w:pPr>
      <w:r>
        <w:rPr>
          <w:noProof/>
          <w:lang w:eastAsia="ru-RU"/>
        </w:rPr>
        <w:drawing>
          <wp:inline distT="0" distB="0" distL="0" distR="0" wp14:anchorId="11C80D7B" wp14:editId="706136D2">
            <wp:extent cx="6385560" cy="3070860"/>
            <wp:effectExtent l="0" t="0" r="1524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E4847" w:rsidRDefault="007E4847">
      <w:pPr>
        <w:rPr>
          <w:lang w:val="uk-UA"/>
        </w:rPr>
      </w:pPr>
    </w:p>
    <w:p w:rsidR="007E4847" w:rsidRDefault="007E4847">
      <w:pPr>
        <w:rPr>
          <w:lang w:val="uk-UA"/>
        </w:rPr>
      </w:pPr>
    </w:p>
    <w:p w:rsidR="007E4847" w:rsidRDefault="007E4847">
      <w:pPr>
        <w:rPr>
          <w:lang w:val="uk-UA"/>
        </w:rPr>
      </w:pPr>
    </w:p>
    <w:p w:rsidR="007E4847" w:rsidRDefault="007E4847">
      <w:pPr>
        <w:rPr>
          <w:lang w:val="uk-UA"/>
        </w:rPr>
      </w:pPr>
    </w:p>
    <w:p w:rsidR="00BC361D" w:rsidRDefault="00BC361D">
      <w:pPr>
        <w:rPr>
          <w:lang w:val="uk-UA"/>
        </w:rPr>
      </w:pPr>
    </w:p>
    <w:p w:rsidR="001048A5" w:rsidRDefault="001048A5">
      <w:pPr>
        <w:rPr>
          <w:lang w:val="uk-UA"/>
        </w:rPr>
      </w:pPr>
    </w:p>
    <w:p w:rsidR="00693BA8" w:rsidRDefault="007E4847">
      <w:pPr>
        <w:rPr>
          <w:lang w:val="uk-UA"/>
        </w:rPr>
      </w:pPr>
      <w:r>
        <w:rPr>
          <w:noProof/>
          <w:lang w:eastAsia="ru-RU"/>
        </w:rPr>
        <w:lastRenderedPageBreak/>
        <w:drawing>
          <wp:inline distT="0" distB="0" distL="0" distR="0" wp14:anchorId="2DD7336A" wp14:editId="2230749A">
            <wp:extent cx="6256020" cy="3230880"/>
            <wp:effectExtent l="0" t="0" r="11430" b="266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4847" w:rsidRDefault="007E4847">
      <w:pPr>
        <w:rPr>
          <w:lang w:val="uk-UA"/>
        </w:rPr>
      </w:pPr>
    </w:p>
    <w:p w:rsidR="007E4847" w:rsidRDefault="007E4847">
      <w:pPr>
        <w:rPr>
          <w:lang w:val="uk-UA"/>
        </w:rPr>
      </w:pPr>
    </w:p>
    <w:p w:rsidR="007E4847" w:rsidRDefault="007E4847">
      <w:pPr>
        <w:rPr>
          <w:lang w:val="uk-UA"/>
        </w:rPr>
      </w:pPr>
    </w:p>
    <w:p w:rsidR="00693BA8" w:rsidRDefault="00693BA8">
      <w:pPr>
        <w:rPr>
          <w:lang w:val="uk-UA"/>
        </w:rPr>
      </w:pPr>
    </w:p>
    <w:p w:rsidR="00693BA8" w:rsidRDefault="00693BA8">
      <w:pPr>
        <w:rPr>
          <w:lang w:val="uk-UA"/>
        </w:rPr>
      </w:pPr>
    </w:p>
    <w:p w:rsidR="001048A5" w:rsidRDefault="001048A5">
      <w:pPr>
        <w:rPr>
          <w:lang w:val="uk-UA"/>
        </w:rPr>
      </w:pPr>
    </w:p>
    <w:p w:rsidR="00693BA8" w:rsidRDefault="00693BA8">
      <w:pPr>
        <w:rPr>
          <w:lang w:val="uk-UA"/>
        </w:rPr>
      </w:pPr>
    </w:p>
    <w:p w:rsidR="00693BA8" w:rsidRDefault="00693BA8">
      <w:pPr>
        <w:rPr>
          <w:lang w:val="uk-UA"/>
        </w:rPr>
      </w:pPr>
    </w:p>
    <w:p w:rsidR="00693BA8" w:rsidRDefault="007E4847">
      <w:pPr>
        <w:rPr>
          <w:lang w:val="uk-UA"/>
        </w:rPr>
      </w:pPr>
      <w:r>
        <w:rPr>
          <w:noProof/>
          <w:lang w:eastAsia="ru-RU"/>
        </w:rPr>
        <w:drawing>
          <wp:inline distT="0" distB="0" distL="0" distR="0" wp14:anchorId="0D8DD01B" wp14:editId="731C18F0">
            <wp:extent cx="6035040" cy="3352800"/>
            <wp:effectExtent l="0" t="0" r="2286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4847" w:rsidRDefault="007E4847">
      <w:pPr>
        <w:rPr>
          <w:lang w:val="uk-UA"/>
        </w:rPr>
      </w:pPr>
    </w:p>
    <w:p w:rsidR="007E4847" w:rsidRDefault="007E4847">
      <w:pPr>
        <w:rPr>
          <w:lang w:val="uk-UA"/>
        </w:rPr>
      </w:pPr>
    </w:p>
    <w:p w:rsidR="001048A5" w:rsidRDefault="007E4847">
      <w:pPr>
        <w:rPr>
          <w:lang w:val="uk-UA"/>
        </w:rPr>
      </w:pPr>
      <w:r>
        <w:rPr>
          <w:noProof/>
          <w:lang w:eastAsia="ru-RU"/>
        </w:rPr>
        <w:lastRenderedPageBreak/>
        <w:drawing>
          <wp:inline distT="0" distB="0" distL="0" distR="0" wp14:anchorId="0D17E915" wp14:editId="11D06C98">
            <wp:extent cx="6408420" cy="3398520"/>
            <wp:effectExtent l="0" t="0" r="11430" b="114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48A5" w:rsidRDefault="001048A5">
      <w:pPr>
        <w:rPr>
          <w:lang w:val="uk-UA"/>
        </w:rPr>
      </w:pPr>
    </w:p>
    <w:p w:rsidR="00693BA8" w:rsidRDefault="00693BA8">
      <w:pPr>
        <w:rPr>
          <w:lang w:val="uk-UA"/>
        </w:rPr>
      </w:pPr>
    </w:p>
    <w:p w:rsidR="00693BA8" w:rsidRDefault="00693BA8">
      <w:pPr>
        <w:rPr>
          <w:lang w:val="uk-UA"/>
        </w:rPr>
      </w:pPr>
    </w:p>
    <w:p w:rsidR="00693BA8" w:rsidRDefault="00693BA8">
      <w:pPr>
        <w:rPr>
          <w:lang w:val="uk-UA"/>
        </w:rPr>
      </w:pPr>
    </w:p>
    <w:p w:rsidR="00443F83" w:rsidRDefault="00443F83">
      <w:pPr>
        <w:rPr>
          <w:lang w:val="uk-UA"/>
        </w:rPr>
      </w:pPr>
    </w:p>
    <w:p w:rsidR="00443F83" w:rsidRDefault="007E4847">
      <w:pPr>
        <w:rPr>
          <w:lang w:val="uk-UA"/>
        </w:rPr>
      </w:pPr>
      <w:r>
        <w:rPr>
          <w:noProof/>
          <w:lang w:eastAsia="ru-RU"/>
        </w:rPr>
        <w:drawing>
          <wp:inline distT="0" distB="0" distL="0" distR="0" wp14:anchorId="213F8BAD" wp14:editId="6E58D9D4">
            <wp:extent cx="6408420" cy="3794760"/>
            <wp:effectExtent l="0" t="0" r="11430" b="152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3F83" w:rsidRDefault="007E4847">
      <w:pPr>
        <w:rPr>
          <w:lang w:val="uk-UA"/>
        </w:rPr>
      </w:pPr>
      <w:r>
        <w:rPr>
          <w:noProof/>
          <w:lang w:eastAsia="ru-RU"/>
        </w:rPr>
        <w:lastRenderedPageBreak/>
        <w:drawing>
          <wp:inline distT="0" distB="0" distL="0" distR="0" wp14:anchorId="2EBBE49B" wp14:editId="55BAFA17">
            <wp:extent cx="6385560" cy="3520440"/>
            <wp:effectExtent l="0" t="0" r="15240" b="228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37FB" w:rsidRDefault="005B37FB">
      <w:pPr>
        <w:rPr>
          <w:lang w:val="uk-UA"/>
        </w:rPr>
      </w:pPr>
    </w:p>
    <w:p w:rsidR="005647B6" w:rsidRDefault="005647B6">
      <w:pPr>
        <w:rPr>
          <w:lang w:val="uk-UA"/>
        </w:rPr>
      </w:pPr>
    </w:p>
    <w:p w:rsidR="005647B6" w:rsidRDefault="005647B6">
      <w:pPr>
        <w:rPr>
          <w:lang w:val="uk-UA"/>
        </w:rPr>
      </w:pPr>
    </w:p>
    <w:p w:rsidR="006D1A4F" w:rsidRPr="0034431F" w:rsidRDefault="006D1A4F" w:rsidP="006D1A4F">
      <w:pPr>
        <w:ind w:firstLine="708"/>
        <w:jc w:val="both"/>
        <w:rPr>
          <w:rFonts w:eastAsia="Times New Roman" w:cs="Times New Roman"/>
          <w:szCs w:val="28"/>
          <w:lang w:val="uk-UA" w:eastAsia="ru-RU"/>
        </w:rPr>
      </w:pPr>
      <w:r w:rsidRPr="0034431F">
        <w:rPr>
          <w:rFonts w:eastAsia="Times New Roman" w:cs="Times New Roman"/>
          <w:szCs w:val="28"/>
          <w:lang w:val="uk-UA" w:eastAsia="ru-RU"/>
        </w:rPr>
        <w:t>У порівнян</w:t>
      </w:r>
      <w:r>
        <w:rPr>
          <w:rFonts w:eastAsia="Times New Roman" w:cs="Times New Roman"/>
          <w:szCs w:val="28"/>
          <w:lang w:val="uk-UA" w:eastAsia="ru-RU"/>
        </w:rPr>
        <w:t>н</w:t>
      </w:r>
      <w:r w:rsidRPr="0034431F">
        <w:rPr>
          <w:rFonts w:eastAsia="Times New Roman" w:cs="Times New Roman"/>
          <w:szCs w:val="28"/>
          <w:lang w:val="uk-UA" w:eastAsia="ru-RU"/>
        </w:rPr>
        <w:t>і з результатами</w:t>
      </w:r>
      <w:r w:rsidR="0010588D">
        <w:rPr>
          <w:rFonts w:eastAsia="Times New Roman" w:cs="Times New Roman"/>
          <w:szCs w:val="28"/>
          <w:lang w:val="uk-UA" w:eastAsia="ru-RU"/>
        </w:rPr>
        <w:t xml:space="preserve"> оцінювання учнів </w:t>
      </w:r>
      <w:r w:rsidR="00F042CB">
        <w:rPr>
          <w:rFonts w:eastAsia="Times New Roman" w:cs="Times New Roman"/>
          <w:szCs w:val="28"/>
          <w:lang w:val="uk-UA" w:eastAsia="ru-RU"/>
        </w:rPr>
        <w:t>з математики</w:t>
      </w:r>
      <w:r w:rsidR="00967373">
        <w:rPr>
          <w:rFonts w:eastAsia="Times New Roman" w:cs="Times New Roman"/>
          <w:szCs w:val="28"/>
          <w:lang w:val="uk-UA" w:eastAsia="ru-RU"/>
        </w:rPr>
        <w:t xml:space="preserve"> в </w:t>
      </w:r>
      <w:r w:rsidR="0010588D">
        <w:rPr>
          <w:rFonts w:eastAsia="Times New Roman" w:cs="Times New Roman"/>
          <w:szCs w:val="28"/>
          <w:lang w:val="uk-UA" w:eastAsia="ru-RU"/>
        </w:rPr>
        <w:t>11</w:t>
      </w:r>
      <w:r>
        <w:rPr>
          <w:rFonts w:eastAsia="Times New Roman" w:cs="Times New Roman"/>
          <w:szCs w:val="28"/>
          <w:lang w:val="uk-UA" w:eastAsia="ru-RU"/>
        </w:rPr>
        <w:t>-А класу</w:t>
      </w:r>
      <w:r w:rsidR="00967373">
        <w:rPr>
          <w:rFonts w:eastAsia="Times New Roman" w:cs="Times New Roman"/>
          <w:szCs w:val="28"/>
          <w:lang w:val="uk-UA" w:eastAsia="ru-RU"/>
        </w:rPr>
        <w:t xml:space="preserve"> на початок </w:t>
      </w:r>
      <w:r>
        <w:rPr>
          <w:rFonts w:eastAsia="Times New Roman" w:cs="Times New Roman"/>
          <w:szCs w:val="28"/>
          <w:lang w:val="uk-UA" w:eastAsia="ru-RU"/>
        </w:rPr>
        <w:t xml:space="preserve"> 2023-2024 навчального року</w:t>
      </w:r>
      <w:r w:rsidRPr="0034431F">
        <w:rPr>
          <w:rFonts w:eastAsia="Times New Roman" w:cs="Times New Roman"/>
          <w:szCs w:val="28"/>
          <w:lang w:val="uk-UA" w:eastAsia="ru-RU"/>
        </w:rPr>
        <w:t xml:space="preserve">  якісний показник</w:t>
      </w:r>
      <w:r>
        <w:rPr>
          <w:rFonts w:eastAsia="Times New Roman" w:cs="Times New Roman"/>
          <w:szCs w:val="28"/>
          <w:lang w:val="uk-UA" w:eastAsia="ru-RU"/>
        </w:rPr>
        <w:t xml:space="preserve"> складає</w:t>
      </w:r>
      <w:r w:rsidRPr="0034431F">
        <w:rPr>
          <w:rFonts w:eastAsia="Times New Roman" w:cs="Times New Roman"/>
          <w:szCs w:val="28"/>
          <w:lang w:val="uk-UA" w:eastAsia="ru-RU"/>
        </w:rPr>
        <w:t>:</w:t>
      </w:r>
    </w:p>
    <w:p w:rsidR="006D1A4F" w:rsidRDefault="006D1A4F" w:rsidP="006D1A4F">
      <w:pPr>
        <w:numPr>
          <w:ilvl w:val="0"/>
          <w:numId w:val="2"/>
        </w:numPr>
        <w:jc w:val="both"/>
        <w:rPr>
          <w:rFonts w:eastAsia="Times New Roman" w:cs="Times New Roman"/>
          <w:szCs w:val="28"/>
          <w:lang w:val="uk-UA" w:eastAsia="ru-RU"/>
        </w:rPr>
      </w:pPr>
      <w:r w:rsidRPr="000C2D64">
        <w:rPr>
          <w:rFonts w:eastAsia="Times New Roman" w:cs="Times New Roman"/>
          <w:szCs w:val="28"/>
          <w:lang w:val="uk-UA" w:eastAsia="ru-RU"/>
        </w:rPr>
        <w:t xml:space="preserve">високого рівня </w:t>
      </w:r>
      <w:r w:rsidR="006F0197">
        <w:rPr>
          <w:rFonts w:eastAsia="Times New Roman" w:cs="Times New Roman"/>
          <w:b/>
          <w:szCs w:val="28"/>
          <w:lang w:val="uk-UA" w:eastAsia="ru-RU"/>
        </w:rPr>
        <w:t xml:space="preserve">залишився сталим </w:t>
      </w:r>
      <w:r w:rsidR="00AA0C4C">
        <w:rPr>
          <w:rFonts w:eastAsia="Times New Roman" w:cs="Times New Roman"/>
          <w:b/>
          <w:szCs w:val="28"/>
          <w:lang w:val="uk-UA" w:eastAsia="ru-RU"/>
        </w:rPr>
        <w:t xml:space="preserve"> із 13</w:t>
      </w:r>
      <w:r w:rsidRPr="00C84EE0">
        <w:rPr>
          <w:rFonts w:eastAsia="Times New Roman" w:cs="Times New Roman"/>
          <w:szCs w:val="28"/>
          <w:lang w:val="uk-UA" w:eastAsia="ru-RU"/>
        </w:rPr>
        <w:t xml:space="preserve">% </w:t>
      </w:r>
      <w:r w:rsidR="006F0197">
        <w:rPr>
          <w:rFonts w:eastAsia="Times New Roman" w:cs="Times New Roman"/>
          <w:szCs w:val="28"/>
          <w:lang w:val="uk-UA" w:eastAsia="ru-RU"/>
        </w:rPr>
        <w:t>до 13</w:t>
      </w:r>
      <w:r>
        <w:rPr>
          <w:rFonts w:eastAsia="Times New Roman" w:cs="Times New Roman"/>
          <w:szCs w:val="28"/>
          <w:lang w:val="uk-UA" w:eastAsia="ru-RU"/>
        </w:rPr>
        <w:t>% (Різниця 11%)</w:t>
      </w:r>
    </w:p>
    <w:p w:rsidR="006D1A4F" w:rsidRPr="000C2D64" w:rsidRDefault="006D1A4F" w:rsidP="006D1A4F">
      <w:pPr>
        <w:numPr>
          <w:ilvl w:val="0"/>
          <w:numId w:val="2"/>
        </w:numPr>
        <w:jc w:val="both"/>
        <w:rPr>
          <w:rFonts w:eastAsia="Times New Roman" w:cs="Times New Roman"/>
          <w:szCs w:val="28"/>
          <w:lang w:val="uk-UA" w:eastAsia="ru-RU"/>
        </w:rPr>
      </w:pPr>
      <w:r w:rsidRPr="000C2D64">
        <w:rPr>
          <w:rFonts w:eastAsia="Times New Roman" w:cs="Times New Roman"/>
          <w:szCs w:val="28"/>
          <w:lang w:val="uk-UA" w:eastAsia="ru-RU"/>
        </w:rPr>
        <w:t xml:space="preserve">достатнього рівня </w:t>
      </w:r>
      <w:r>
        <w:rPr>
          <w:rFonts w:eastAsia="Times New Roman" w:cs="Times New Roman"/>
          <w:b/>
          <w:szCs w:val="28"/>
          <w:lang w:val="uk-UA" w:eastAsia="ru-RU"/>
        </w:rPr>
        <w:t>знизився</w:t>
      </w:r>
      <w:r w:rsidRPr="000C2D64">
        <w:rPr>
          <w:rFonts w:eastAsia="Times New Roman" w:cs="Times New Roman"/>
          <w:b/>
          <w:szCs w:val="28"/>
          <w:lang w:val="uk-UA" w:eastAsia="ru-RU"/>
        </w:rPr>
        <w:t xml:space="preserve"> </w:t>
      </w:r>
      <w:r w:rsidR="00AA0C4C">
        <w:rPr>
          <w:rFonts w:eastAsia="Times New Roman" w:cs="Times New Roman"/>
          <w:szCs w:val="28"/>
          <w:lang w:val="uk-UA" w:eastAsia="ru-RU"/>
        </w:rPr>
        <w:t>із 52</w:t>
      </w:r>
      <w:r w:rsidR="006F0197">
        <w:rPr>
          <w:rFonts w:eastAsia="Times New Roman" w:cs="Times New Roman"/>
          <w:szCs w:val="28"/>
          <w:lang w:val="uk-UA" w:eastAsia="ru-RU"/>
        </w:rPr>
        <w:t>% до 48</w:t>
      </w:r>
      <w:r>
        <w:rPr>
          <w:rFonts w:eastAsia="Times New Roman" w:cs="Times New Roman"/>
          <w:szCs w:val="28"/>
          <w:lang w:val="uk-UA" w:eastAsia="ru-RU"/>
        </w:rPr>
        <w:t xml:space="preserve">% (Різниця </w:t>
      </w:r>
      <w:r w:rsidRPr="000C2D64">
        <w:rPr>
          <w:rFonts w:eastAsia="Times New Roman" w:cs="Times New Roman"/>
          <w:szCs w:val="28"/>
          <w:lang w:val="uk-UA" w:eastAsia="ru-RU"/>
        </w:rPr>
        <w:t>3%)</w:t>
      </w:r>
    </w:p>
    <w:p w:rsidR="006D1A4F" w:rsidRPr="0034431F" w:rsidRDefault="006D1A4F" w:rsidP="006D1A4F">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 xml:space="preserve">середнього рівня </w:t>
      </w:r>
      <w:r>
        <w:rPr>
          <w:rFonts w:eastAsia="Times New Roman" w:cs="Times New Roman"/>
          <w:b/>
          <w:szCs w:val="28"/>
          <w:lang w:val="uk-UA" w:eastAsia="ru-RU"/>
        </w:rPr>
        <w:t>знизився</w:t>
      </w:r>
      <w:r w:rsidR="00AA0C4C">
        <w:rPr>
          <w:rFonts w:eastAsia="Times New Roman" w:cs="Times New Roman"/>
          <w:szCs w:val="28"/>
          <w:lang w:val="uk-UA" w:eastAsia="ru-RU"/>
        </w:rPr>
        <w:t xml:space="preserve"> із 35</w:t>
      </w:r>
      <w:r w:rsidR="00384163">
        <w:rPr>
          <w:rFonts w:eastAsia="Times New Roman" w:cs="Times New Roman"/>
          <w:szCs w:val="28"/>
          <w:lang w:val="uk-UA" w:eastAsia="ru-RU"/>
        </w:rPr>
        <w:t>%</w:t>
      </w:r>
      <w:r w:rsidR="006F0197">
        <w:rPr>
          <w:rFonts w:eastAsia="Times New Roman" w:cs="Times New Roman"/>
          <w:szCs w:val="28"/>
          <w:lang w:val="uk-UA" w:eastAsia="ru-RU"/>
        </w:rPr>
        <w:t xml:space="preserve"> до 30</w:t>
      </w:r>
      <w:r>
        <w:rPr>
          <w:rFonts w:eastAsia="Times New Roman" w:cs="Times New Roman"/>
          <w:szCs w:val="28"/>
          <w:lang w:val="uk-UA" w:eastAsia="ru-RU"/>
        </w:rPr>
        <w:t>% (Різниця 36</w:t>
      </w:r>
      <w:r w:rsidRPr="0034431F">
        <w:rPr>
          <w:rFonts w:eastAsia="Times New Roman" w:cs="Times New Roman"/>
          <w:szCs w:val="28"/>
          <w:lang w:val="uk-UA" w:eastAsia="ru-RU"/>
        </w:rPr>
        <w:t>%)</w:t>
      </w:r>
    </w:p>
    <w:p w:rsidR="006D1A4F" w:rsidRPr="0034431F" w:rsidRDefault="006D1A4F" w:rsidP="006D1A4F">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низького рівня</w:t>
      </w:r>
      <w:r w:rsidRPr="0034431F">
        <w:rPr>
          <w:rFonts w:eastAsia="Times New Roman" w:cs="Times New Roman"/>
          <w:b/>
          <w:szCs w:val="28"/>
          <w:lang w:val="uk-UA" w:eastAsia="ru-RU"/>
        </w:rPr>
        <w:t xml:space="preserve"> </w:t>
      </w:r>
      <w:r>
        <w:rPr>
          <w:rFonts w:eastAsia="Times New Roman" w:cs="Times New Roman"/>
          <w:b/>
          <w:szCs w:val="28"/>
          <w:lang w:val="uk-UA" w:eastAsia="ru-RU"/>
        </w:rPr>
        <w:t xml:space="preserve">підвищився </w:t>
      </w:r>
      <w:r w:rsidR="00AA0C4C">
        <w:rPr>
          <w:rFonts w:eastAsia="Times New Roman" w:cs="Times New Roman"/>
          <w:szCs w:val="28"/>
          <w:lang w:val="uk-UA" w:eastAsia="ru-RU"/>
        </w:rPr>
        <w:t>із 0</w:t>
      </w:r>
      <w:r w:rsidR="006F0197">
        <w:rPr>
          <w:rFonts w:eastAsia="Times New Roman" w:cs="Times New Roman"/>
          <w:szCs w:val="28"/>
          <w:lang w:val="uk-UA" w:eastAsia="ru-RU"/>
        </w:rPr>
        <w:t>% до 9</w:t>
      </w:r>
      <w:r w:rsidRPr="0034431F">
        <w:rPr>
          <w:rFonts w:eastAsia="Times New Roman" w:cs="Times New Roman"/>
          <w:szCs w:val="28"/>
          <w:lang w:val="uk-UA" w:eastAsia="ru-RU"/>
        </w:rPr>
        <w:t>% (Різ</w:t>
      </w:r>
      <w:r>
        <w:rPr>
          <w:rFonts w:eastAsia="Times New Roman" w:cs="Times New Roman"/>
          <w:szCs w:val="28"/>
          <w:lang w:val="uk-UA" w:eastAsia="ru-RU"/>
        </w:rPr>
        <w:t>ниця 28</w:t>
      </w:r>
      <w:r w:rsidRPr="0034431F">
        <w:rPr>
          <w:rFonts w:eastAsia="Times New Roman" w:cs="Times New Roman"/>
          <w:szCs w:val="28"/>
          <w:lang w:val="uk-UA" w:eastAsia="ru-RU"/>
        </w:rPr>
        <w:t>%)</w:t>
      </w:r>
    </w:p>
    <w:p w:rsidR="006D1A4F" w:rsidRDefault="006D1A4F" w:rsidP="006D1A4F">
      <w:pPr>
        <w:ind w:left="720"/>
        <w:jc w:val="both"/>
        <w:rPr>
          <w:rFonts w:eastAsia="Times New Roman" w:cs="Times New Roman"/>
          <w:szCs w:val="28"/>
          <w:lang w:val="uk-UA" w:eastAsia="ru-RU"/>
        </w:rPr>
      </w:pPr>
    </w:p>
    <w:p w:rsidR="006D1A4F" w:rsidRPr="005E4FC3" w:rsidRDefault="006D1A4F" w:rsidP="006D1A4F">
      <w:pPr>
        <w:ind w:left="360"/>
        <w:jc w:val="both"/>
        <w:rPr>
          <w:rFonts w:eastAsia="Times New Roman" w:cs="Times New Roman"/>
          <w:szCs w:val="28"/>
          <w:lang w:val="uk-UA" w:eastAsia="ru-RU"/>
        </w:rPr>
      </w:pPr>
      <w:r>
        <w:rPr>
          <w:rFonts w:eastAsia="Times New Roman" w:cs="Times New Roman"/>
          <w:szCs w:val="28"/>
          <w:lang w:val="uk-UA" w:eastAsia="ru-RU"/>
        </w:rPr>
        <w:t xml:space="preserve">     </w:t>
      </w:r>
      <w:r w:rsidRPr="005E4FC3">
        <w:rPr>
          <w:rFonts w:eastAsia="Times New Roman" w:cs="Times New Roman"/>
          <w:szCs w:val="28"/>
          <w:lang w:val="uk-UA" w:eastAsia="ru-RU"/>
        </w:rPr>
        <w:t>У порівнян</w:t>
      </w:r>
      <w:r>
        <w:rPr>
          <w:rFonts w:eastAsia="Times New Roman" w:cs="Times New Roman"/>
          <w:szCs w:val="28"/>
          <w:lang w:val="uk-UA" w:eastAsia="ru-RU"/>
        </w:rPr>
        <w:t>н</w:t>
      </w:r>
      <w:r w:rsidRPr="005E4FC3">
        <w:rPr>
          <w:rFonts w:eastAsia="Times New Roman" w:cs="Times New Roman"/>
          <w:szCs w:val="28"/>
          <w:lang w:val="uk-UA" w:eastAsia="ru-RU"/>
        </w:rPr>
        <w:t>і з</w:t>
      </w:r>
      <w:r w:rsidR="0010588D">
        <w:rPr>
          <w:rFonts w:eastAsia="Times New Roman" w:cs="Times New Roman"/>
          <w:szCs w:val="28"/>
          <w:lang w:val="uk-UA" w:eastAsia="ru-RU"/>
        </w:rPr>
        <w:t xml:space="preserve"> результатами оцінювання учнів </w:t>
      </w:r>
      <w:r w:rsidR="00F042CB">
        <w:rPr>
          <w:rFonts w:eastAsia="Times New Roman" w:cs="Times New Roman"/>
          <w:szCs w:val="28"/>
          <w:lang w:val="uk-UA" w:eastAsia="ru-RU"/>
        </w:rPr>
        <w:t xml:space="preserve">з математики </w:t>
      </w:r>
      <w:r w:rsidR="00967373">
        <w:rPr>
          <w:rFonts w:eastAsia="Times New Roman" w:cs="Times New Roman"/>
          <w:szCs w:val="28"/>
          <w:lang w:val="uk-UA" w:eastAsia="ru-RU"/>
        </w:rPr>
        <w:t xml:space="preserve">в </w:t>
      </w:r>
      <w:r w:rsidR="0010588D">
        <w:rPr>
          <w:rFonts w:eastAsia="Times New Roman" w:cs="Times New Roman"/>
          <w:szCs w:val="28"/>
          <w:lang w:val="uk-UA" w:eastAsia="ru-RU"/>
        </w:rPr>
        <w:t>11</w:t>
      </w:r>
      <w:r w:rsidRPr="005E4FC3">
        <w:rPr>
          <w:rFonts w:eastAsia="Times New Roman" w:cs="Times New Roman"/>
          <w:szCs w:val="28"/>
          <w:lang w:val="uk-UA" w:eastAsia="ru-RU"/>
        </w:rPr>
        <w:t>-</w:t>
      </w:r>
      <w:r>
        <w:rPr>
          <w:rFonts w:eastAsia="Times New Roman" w:cs="Times New Roman"/>
          <w:szCs w:val="28"/>
          <w:lang w:val="uk-UA" w:eastAsia="ru-RU"/>
        </w:rPr>
        <w:t>Б</w:t>
      </w:r>
      <w:r w:rsidRPr="005E4FC3">
        <w:rPr>
          <w:rFonts w:eastAsia="Times New Roman" w:cs="Times New Roman"/>
          <w:szCs w:val="28"/>
          <w:lang w:val="uk-UA" w:eastAsia="ru-RU"/>
        </w:rPr>
        <w:t xml:space="preserve"> класу </w:t>
      </w:r>
      <w:r w:rsidR="00967373">
        <w:rPr>
          <w:rFonts w:eastAsia="Times New Roman" w:cs="Times New Roman"/>
          <w:szCs w:val="28"/>
          <w:lang w:val="uk-UA" w:eastAsia="ru-RU"/>
        </w:rPr>
        <w:t xml:space="preserve">на початок  </w:t>
      </w:r>
      <w:r w:rsidRPr="005E4FC3">
        <w:rPr>
          <w:rFonts w:eastAsia="Times New Roman" w:cs="Times New Roman"/>
          <w:szCs w:val="28"/>
          <w:lang w:val="uk-UA" w:eastAsia="ru-RU"/>
        </w:rPr>
        <w:t>2023-2024 навчального року  якісний показник складає:</w:t>
      </w:r>
    </w:p>
    <w:p w:rsidR="006D1A4F" w:rsidRDefault="006D1A4F" w:rsidP="006D1A4F">
      <w:pPr>
        <w:numPr>
          <w:ilvl w:val="0"/>
          <w:numId w:val="2"/>
        </w:numPr>
        <w:jc w:val="both"/>
        <w:rPr>
          <w:rFonts w:eastAsia="Times New Roman" w:cs="Times New Roman"/>
          <w:szCs w:val="28"/>
          <w:lang w:val="uk-UA" w:eastAsia="ru-RU"/>
        </w:rPr>
      </w:pPr>
      <w:r w:rsidRPr="00C84EE0">
        <w:rPr>
          <w:rFonts w:eastAsia="Times New Roman" w:cs="Times New Roman"/>
          <w:szCs w:val="28"/>
          <w:lang w:val="uk-UA" w:eastAsia="ru-RU"/>
        </w:rPr>
        <w:t>високого рівня</w:t>
      </w:r>
      <w:r w:rsidRPr="000C2D64">
        <w:rPr>
          <w:rFonts w:eastAsia="Times New Roman" w:cs="Times New Roman"/>
          <w:b/>
          <w:szCs w:val="28"/>
          <w:lang w:val="uk-UA" w:eastAsia="ru-RU"/>
        </w:rPr>
        <w:t xml:space="preserve"> </w:t>
      </w:r>
      <w:r w:rsidR="00580FFC">
        <w:rPr>
          <w:rFonts w:eastAsia="Times New Roman" w:cs="Times New Roman"/>
          <w:b/>
          <w:szCs w:val="28"/>
          <w:lang w:val="uk-UA" w:eastAsia="ru-RU"/>
        </w:rPr>
        <w:t>знизився</w:t>
      </w:r>
      <w:r w:rsidR="00166C00">
        <w:rPr>
          <w:rFonts w:eastAsia="Times New Roman" w:cs="Times New Roman"/>
          <w:b/>
          <w:szCs w:val="28"/>
          <w:lang w:val="uk-UA" w:eastAsia="ru-RU"/>
        </w:rPr>
        <w:t xml:space="preserve"> із 32</w:t>
      </w:r>
      <w:r w:rsidRPr="00C84EE0">
        <w:rPr>
          <w:rFonts w:eastAsia="Times New Roman" w:cs="Times New Roman"/>
          <w:szCs w:val="28"/>
          <w:lang w:val="uk-UA" w:eastAsia="ru-RU"/>
        </w:rPr>
        <w:t xml:space="preserve"> % </w:t>
      </w:r>
      <w:r w:rsidR="00384163">
        <w:rPr>
          <w:rFonts w:eastAsia="Times New Roman" w:cs="Times New Roman"/>
          <w:szCs w:val="28"/>
          <w:lang w:val="uk-UA" w:eastAsia="ru-RU"/>
        </w:rPr>
        <w:t xml:space="preserve">до </w:t>
      </w:r>
      <w:r w:rsidR="006F0197">
        <w:rPr>
          <w:rFonts w:eastAsia="Times New Roman" w:cs="Times New Roman"/>
          <w:szCs w:val="28"/>
          <w:lang w:val="uk-UA" w:eastAsia="ru-RU"/>
        </w:rPr>
        <w:t>11</w:t>
      </w:r>
      <w:r w:rsidR="00580FFC">
        <w:rPr>
          <w:rFonts w:eastAsia="Times New Roman" w:cs="Times New Roman"/>
          <w:szCs w:val="28"/>
          <w:lang w:val="uk-UA" w:eastAsia="ru-RU"/>
        </w:rPr>
        <w:t>% (Різниця 32</w:t>
      </w:r>
      <w:r>
        <w:rPr>
          <w:rFonts w:eastAsia="Times New Roman" w:cs="Times New Roman"/>
          <w:szCs w:val="28"/>
          <w:lang w:val="uk-UA" w:eastAsia="ru-RU"/>
        </w:rPr>
        <w:t>%)</w:t>
      </w:r>
    </w:p>
    <w:p w:rsidR="006D1A4F" w:rsidRPr="00C84EE0" w:rsidRDefault="006D1A4F" w:rsidP="006D1A4F">
      <w:pPr>
        <w:numPr>
          <w:ilvl w:val="0"/>
          <w:numId w:val="2"/>
        </w:numPr>
        <w:jc w:val="both"/>
        <w:rPr>
          <w:rFonts w:eastAsia="Times New Roman" w:cs="Times New Roman"/>
          <w:szCs w:val="28"/>
          <w:lang w:val="uk-UA" w:eastAsia="ru-RU"/>
        </w:rPr>
      </w:pPr>
      <w:r w:rsidRPr="00C84EE0">
        <w:rPr>
          <w:rFonts w:eastAsia="Times New Roman" w:cs="Times New Roman"/>
          <w:szCs w:val="28"/>
          <w:lang w:val="uk-UA" w:eastAsia="ru-RU"/>
        </w:rPr>
        <w:t xml:space="preserve">достатнього рівня </w:t>
      </w:r>
      <w:r>
        <w:rPr>
          <w:rFonts w:eastAsia="Times New Roman" w:cs="Times New Roman"/>
          <w:b/>
          <w:szCs w:val="28"/>
          <w:lang w:val="uk-UA" w:eastAsia="ru-RU"/>
        </w:rPr>
        <w:t xml:space="preserve">знизився </w:t>
      </w:r>
      <w:r w:rsidR="00AA0C4C">
        <w:rPr>
          <w:rFonts w:eastAsia="Times New Roman" w:cs="Times New Roman"/>
          <w:szCs w:val="28"/>
          <w:lang w:val="uk-UA" w:eastAsia="ru-RU"/>
        </w:rPr>
        <w:t>із 52</w:t>
      </w:r>
      <w:r w:rsidR="006F0197">
        <w:rPr>
          <w:rFonts w:eastAsia="Times New Roman" w:cs="Times New Roman"/>
          <w:szCs w:val="28"/>
          <w:lang w:val="uk-UA" w:eastAsia="ru-RU"/>
        </w:rPr>
        <w:t>% до 48</w:t>
      </w:r>
      <w:r w:rsidR="00580FFC">
        <w:rPr>
          <w:rFonts w:eastAsia="Times New Roman" w:cs="Times New Roman"/>
          <w:szCs w:val="28"/>
          <w:lang w:val="uk-UA" w:eastAsia="ru-RU"/>
        </w:rPr>
        <w:t>% (Різниця 15</w:t>
      </w:r>
      <w:r w:rsidRPr="00C84EE0">
        <w:rPr>
          <w:rFonts w:eastAsia="Times New Roman" w:cs="Times New Roman"/>
          <w:szCs w:val="28"/>
          <w:lang w:val="uk-UA" w:eastAsia="ru-RU"/>
        </w:rPr>
        <w:t>%)</w:t>
      </w:r>
    </w:p>
    <w:p w:rsidR="006D1A4F" w:rsidRPr="0034431F" w:rsidRDefault="006D1A4F" w:rsidP="006D1A4F">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 xml:space="preserve">середнього рівня </w:t>
      </w:r>
      <w:r>
        <w:rPr>
          <w:rFonts w:eastAsia="Times New Roman" w:cs="Times New Roman"/>
          <w:b/>
          <w:szCs w:val="28"/>
          <w:lang w:val="uk-UA" w:eastAsia="ru-RU"/>
        </w:rPr>
        <w:t>підвищився</w:t>
      </w:r>
      <w:r w:rsidR="00AA0C4C">
        <w:rPr>
          <w:rFonts w:eastAsia="Times New Roman" w:cs="Times New Roman"/>
          <w:szCs w:val="28"/>
          <w:lang w:val="uk-UA" w:eastAsia="ru-RU"/>
        </w:rPr>
        <w:t xml:space="preserve"> із 1</w:t>
      </w:r>
      <w:r w:rsidR="00166C00">
        <w:rPr>
          <w:rFonts w:eastAsia="Times New Roman" w:cs="Times New Roman"/>
          <w:szCs w:val="28"/>
          <w:lang w:val="uk-UA" w:eastAsia="ru-RU"/>
        </w:rPr>
        <w:t>2</w:t>
      </w:r>
      <w:r w:rsidR="006F0197">
        <w:rPr>
          <w:rFonts w:eastAsia="Times New Roman" w:cs="Times New Roman"/>
          <w:szCs w:val="28"/>
          <w:lang w:val="uk-UA" w:eastAsia="ru-RU"/>
        </w:rPr>
        <w:t>% до 41</w:t>
      </w:r>
      <w:r w:rsidR="00580FFC">
        <w:rPr>
          <w:rFonts w:eastAsia="Times New Roman" w:cs="Times New Roman"/>
          <w:szCs w:val="28"/>
          <w:lang w:val="uk-UA" w:eastAsia="ru-RU"/>
        </w:rPr>
        <w:t>% (Різниця 26</w:t>
      </w:r>
      <w:r w:rsidRPr="0034431F">
        <w:rPr>
          <w:rFonts w:eastAsia="Times New Roman" w:cs="Times New Roman"/>
          <w:szCs w:val="28"/>
          <w:lang w:val="uk-UA" w:eastAsia="ru-RU"/>
        </w:rPr>
        <w:t>%)</w:t>
      </w:r>
    </w:p>
    <w:p w:rsidR="006D1A4F" w:rsidRPr="0034431F" w:rsidRDefault="006D1A4F" w:rsidP="006D1A4F">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низького рівня</w:t>
      </w:r>
      <w:r w:rsidRPr="0034431F">
        <w:rPr>
          <w:rFonts w:eastAsia="Times New Roman" w:cs="Times New Roman"/>
          <w:b/>
          <w:szCs w:val="28"/>
          <w:lang w:val="uk-UA" w:eastAsia="ru-RU"/>
        </w:rPr>
        <w:t xml:space="preserve"> </w:t>
      </w:r>
      <w:r w:rsidR="006F0197">
        <w:rPr>
          <w:rFonts w:eastAsia="Times New Roman" w:cs="Times New Roman"/>
          <w:b/>
          <w:szCs w:val="28"/>
          <w:lang w:val="uk-UA" w:eastAsia="ru-RU"/>
        </w:rPr>
        <w:t>знизився</w:t>
      </w:r>
      <w:r>
        <w:rPr>
          <w:rFonts w:eastAsia="Times New Roman" w:cs="Times New Roman"/>
          <w:b/>
          <w:szCs w:val="28"/>
          <w:lang w:val="uk-UA" w:eastAsia="ru-RU"/>
        </w:rPr>
        <w:t xml:space="preserve"> </w:t>
      </w:r>
      <w:r w:rsidR="00AA0C4C">
        <w:rPr>
          <w:rFonts w:eastAsia="Times New Roman" w:cs="Times New Roman"/>
          <w:szCs w:val="28"/>
          <w:lang w:val="uk-UA" w:eastAsia="ru-RU"/>
        </w:rPr>
        <w:t>із 3</w:t>
      </w:r>
      <w:r w:rsidR="006F0197">
        <w:rPr>
          <w:rFonts w:eastAsia="Times New Roman" w:cs="Times New Roman"/>
          <w:szCs w:val="28"/>
          <w:lang w:val="uk-UA" w:eastAsia="ru-RU"/>
        </w:rPr>
        <w:t>% до 0</w:t>
      </w:r>
      <w:r w:rsidRPr="0034431F">
        <w:rPr>
          <w:rFonts w:eastAsia="Times New Roman" w:cs="Times New Roman"/>
          <w:szCs w:val="28"/>
          <w:lang w:val="uk-UA" w:eastAsia="ru-RU"/>
        </w:rPr>
        <w:t xml:space="preserve"> % (Різ</w:t>
      </w:r>
      <w:r w:rsidR="00580FFC">
        <w:rPr>
          <w:rFonts w:eastAsia="Times New Roman" w:cs="Times New Roman"/>
          <w:szCs w:val="28"/>
          <w:lang w:val="uk-UA" w:eastAsia="ru-RU"/>
        </w:rPr>
        <w:t>ниця 21</w:t>
      </w:r>
      <w:r w:rsidRPr="0034431F">
        <w:rPr>
          <w:rFonts w:eastAsia="Times New Roman" w:cs="Times New Roman"/>
          <w:szCs w:val="28"/>
          <w:lang w:val="uk-UA" w:eastAsia="ru-RU"/>
        </w:rPr>
        <w:t>%)</w:t>
      </w:r>
    </w:p>
    <w:p w:rsidR="006D1A4F" w:rsidRPr="0034431F" w:rsidRDefault="006D1A4F" w:rsidP="006D1A4F">
      <w:pPr>
        <w:ind w:left="720"/>
        <w:jc w:val="both"/>
        <w:rPr>
          <w:rFonts w:eastAsia="Times New Roman" w:cs="Times New Roman"/>
          <w:szCs w:val="28"/>
          <w:lang w:val="uk-UA" w:eastAsia="ru-RU"/>
        </w:rPr>
      </w:pPr>
    </w:p>
    <w:p w:rsidR="006D1A4F" w:rsidRPr="005E4FC3" w:rsidRDefault="006D1A4F" w:rsidP="006D1A4F">
      <w:pPr>
        <w:pStyle w:val="a3"/>
        <w:jc w:val="both"/>
        <w:rPr>
          <w:rFonts w:eastAsia="Times New Roman" w:cs="Times New Roman"/>
          <w:szCs w:val="28"/>
          <w:lang w:val="uk-UA" w:eastAsia="ru-RU"/>
        </w:rPr>
      </w:pPr>
      <w:r>
        <w:rPr>
          <w:rFonts w:eastAsia="Times New Roman" w:cs="Times New Roman"/>
          <w:szCs w:val="28"/>
          <w:lang w:val="uk-UA" w:eastAsia="ru-RU"/>
        </w:rPr>
        <w:t xml:space="preserve"> </w:t>
      </w:r>
      <w:r w:rsidRPr="005E4FC3">
        <w:rPr>
          <w:rFonts w:eastAsia="Times New Roman" w:cs="Times New Roman"/>
          <w:szCs w:val="28"/>
          <w:lang w:val="uk-UA" w:eastAsia="ru-RU"/>
        </w:rPr>
        <w:t>У порівнян</w:t>
      </w:r>
      <w:r>
        <w:rPr>
          <w:rFonts w:eastAsia="Times New Roman" w:cs="Times New Roman"/>
          <w:szCs w:val="28"/>
          <w:lang w:val="uk-UA" w:eastAsia="ru-RU"/>
        </w:rPr>
        <w:t>н</w:t>
      </w:r>
      <w:r w:rsidRPr="005E4FC3">
        <w:rPr>
          <w:rFonts w:eastAsia="Times New Roman" w:cs="Times New Roman"/>
          <w:szCs w:val="28"/>
          <w:lang w:val="uk-UA" w:eastAsia="ru-RU"/>
        </w:rPr>
        <w:t>і з</w:t>
      </w:r>
      <w:r w:rsidR="0010588D">
        <w:rPr>
          <w:rFonts w:eastAsia="Times New Roman" w:cs="Times New Roman"/>
          <w:szCs w:val="28"/>
          <w:lang w:val="uk-UA" w:eastAsia="ru-RU"/>
        </w:rPr>
        <w:t xml:space="preserve"> результатами оцінювання учнів </w:t>
      </w:r>
      <w:r w:rsidR="00F042CB">
        <w:rPr>
          <w:rFonts w:eastAsia="Times New Roman" w:cs="Times New Roman"/>
          <w:szCs w:val="28"/>
          <w:lang w:val="uk-UA" w:eastAsia="ru-RU"/>
        </w:rPr>
        <w:t xml:space="preserve">з математики </w:t>
      </w:r>
      <w:r w:rsidR="00967373">
        <w:rPr>
          <w:rFonts w:eastAsia="Times New Roman" w:cs="Times New Roman"/>
          <w:szCs w:val="28"/>
          <w:lang w:val="uk-UA" w:eastAsia="ru-RU"/>
        </w:rPr>
        <w:t xml:space="preserve">в </w:t>
      </w:r>
      <w:r w:rsidR="0010588D">
        <w:rPr>
          <w:rFonts w:eastAsia="Times New Roman" w:cs="Times New Roman"/>
          <w:szCs w:val="28"/>
          <w:lang w:val="uk-UA" w:eastAsia="ru-RU"/>
        </w:rPr>
        <w:t>11</w:t>
      </w:r>
      <w:r w:rsidRPr="005E4FC3">
        <w:rPr>
          <w:rFonts w:eastAsia="Times New Roman" w:cs="Times New Roman"/>
          <w:szCs w:val="28"/>
          <w:lang w:val="uk-UA" w:eastAsia="ru-RU"/>
        </w:rPr>
        <w:t>-</w:t>
      </w:r>
      <w:r>
        <w:rPr>
          <w:rFonts w:eastAsia="Times New Roman" w:cs="Times New Roman"/>
          <w:szCs w:val="28"/>
          <w:lang w:val="uk-UA" w:eastAsia="ru-RU"/>
        </w:rPr>
        <w:t>В</w:t>
      </w:r>
      <w:r w:rsidRPr="005E4FC3">
        <w:rPr>
          <w:rFonts w:eastAsia="Times New Roman" w:cs="Times New Roman"/>
          <w:szCs w:val="28"/>
          <w:lang w:val="uk-UA" w:eastAsia="ru-RU"/>
        </w:rPr>
        <w:t xml:space="preserve"> класу</w:t>
      </w:r>
      <w:r w:rsidR="00967373" w:rsidRPr="00967373">
        <w:rPr>
          <w:rFonts w:eastAsia="Times New Roman" w:cs="Times New Roman"/>
          <w:szCs w:val="28"/>
          <w:lang w:val="uk-UA" w:eastAsia="ru-RU"/>
        </w:rPr>
        <w:t xml:space="preserve"> </w:t>
      </w:r>
      <w:r w:rsidR="00967373">
        <w:rPr>
          <w:rFonts w:eastAsia="Times New Roman" w:cs="Times New Roman"/>
          <w:szCs w:val="28"/>
          <w:lang w:val="uk-UA" w:eastAsia="ru-RU"/>
        </w:rPr>
        <w:t xml:space="preserve">на початок  </w:t>
      </w:r>
      <w:r w:rsidRPr="005E4FC3">
        <w:rPr>
          <w:rFonts w:eastAsia="Times New Roman" w:cs="Times New Roman"/>
          <w:szCs w:val="28"/>
          <w:lang w:val="uk-UA" w:eastAsia="ru-RU"/>
        </w:rPr>
        <w:t>2023-2024 навчального року  якісний показник складає:</w:t>
      </w:r>
    </w:p>
    <w:p w:rsidR="006D1A4F" w:rsidRDefault="006D1A4F" w:rsidP="006D1A4F">
      <w:pPr>
        <w:numPr>
          <w:ilvl w:val="0"/>
          <w:numId w:val="2"/>
        </w:numPr>
        <w:jc w:val="both"/>
        <w:rPr>
          <w:rFonts w:eastAsia="Times New Roman" w:cs="Times New Roman"/>
          <w:szCs w:val="28"/>
          <w:lang w:val="uk-UA" w:eastAsia="ru-RU"/>
        </w:rPr>
      </w:pPr>
      <w:r w:rsidRPr="00C84EE0">
        <w:rPr>
          <w:rFonts w:eastAsia="Times New Roman" w:cs="Times New Roman"/>
          <w:szCs w:val="28"/>
          <w:lang w:val="uk-UA" w:eastAsia="ru-RU"/>
        </w:rPr>
        <w:t xml:space="preserve">високого рівня </w:t>
      </w:r>
      <w:r w:rsidR="00580FFC">
        <w:rPr>
          <w:rFonts w:eastAsia="Times New Roman" w:cs="Times New Roman"/>
          <w:b/>
          <w:szCs w:val="28"/>
          <w:lang w:val="uk-UA" w:eastAsia="ru-RU"/>
        </w:rPr>
        <w:t>знизився</w:t>
      </w:r>
      <w:r>
        <w:rPr>
          <w:rFonts w:eastAsia="Times New Roman" w:cs="Times New Roman"/>
          <w:b/>
          <w:szCs w:val="28"/>
          <w:lang w:val="uk-UA" w:eastAsia="ru-RU"/>
        </w:rPr>
        <w:t xml:space="preserve"> </w:t>
      </w:r>
      <w:r w:rsidR="00166C00">
        <w:rPr>
          <w:rFonts w:eastAsia="Times New Roman" w:cs="Times New Roman"/>
          <w:szCs w:val="28"/>
          <w:lang w:val="uk-UA" w:eastAsia="ru-RU"/>
        </w:rPr>
        <w:t>із 32</w:t>
      </w:r>
      <w:r w:rsidR="00384163">
        <w:rPr>
          <w:rFonts w:eastAsia="Times New Roman" w:cs="Times New Roman"/>
          <w:szCs w:val="28"/>
          <w:lang w:val="uk-UA" w:eastAsia="ru-RU"/>
        </w:rPr>
        <w:t xml:space="preserve">% до </w:t>
      </w:r>
      <w:r w:rsidR="006F0197">
        <w:rPr>
          <w:rFonts w:eastAsia="Times New Roman" w:cs="Times New Roman"/>
          <w:szCs w:val="28"/>
          <w:lang w:val="uk-UA" w:eastAsia="ru-RU"/>
        </w:rPr>
        <w:t>22</w:t>
      </w:r>
      <w:r w:rsidR="00580FFC">
        <w:rPr>
          <w:rFonts w:eastAsia="Times New Roman" w:cs="Times New Roman"/>
          <w:szCs w:val="28"/>
          <w:lang w:val="uk-UA" w:eastAsia="ru-RU"/>
        </w:rPr>
        <w:t>% (Різниця 32</w:t>
      </w:r>
      <w:r w:rsidRPr="00C84EE0">
        <w:rPr>
          <w:rFonts w:eastAsia="Times New Roman" w:cs="Times New Roman"/>
          <w:szCs w:val="28"/>
          <w:lang w:val="uk-UA" w:eastAsia="ru-RU"/>
        </w:rPr>
        <w:t>%)</w:t>
      </w:r>
    </w:p>
    <w:p w:rsidR="006D1A4F" w:rsidRPr="00C84EE0" w:rsidRDefault="006D1A4F" w:rsidP="006D1A4F">
      <w:pPr>
        <w:numPr>
          <w:ilvl w:val="0"/>
          <w:numId w:val="2"/>
        </w:numPr>
        <w:jc w:val="both"/>
        <w:rPr>
          <w:rFonts w:eastAsia="Times New Roman" w:cs="Times New Roman"/>
          <w:szCs w:val="28"/>
          <w:lang w:val="uk-UA" w:eastAsia="ru-RU"/>
        </w:rPr>
      </w:pPr>
      <w:r w:rsidRPr="00C84EE0">
        <w:rPr>
          <w:rFonts w:eastAsia="Times New Roman" w:cs="Times New Roman"/>
          <w:szCs w:val="28"/>
          <w:lang w:val="uk-UA" w:eastAsia="ru-RU"/>
        </w:rPr>
        <w:t xml:space="preserve">достатнього рівня </w:t>
      </w:r>
      <w:r w:rsidR="006F0197">
        <w:rPr>
          <w:rFonts w:eastAsia="Times New Roman" w:cs="Times New Roman"/>
          <w:b/>
          <w:szCs w:val="28"/>
          <w:lang w:val="uk-UA" w:eastAsia="ru-RU"/>
        </w:rPr>
        <w:t xml:space="preserve">залишився сталим  </w:t>
      </w:r>
      <w:r w:rsidR="00AA0C4C">
        <w:rPr>
          <w:rFonts w:eastAsia="Times New Roman" w:cs="Times New Roman"/>
          <w:szCs w:val="28"/>
          <w:lang w:val="uk-UA" w:eastAsia="ru-RU"/>
        </w:rPr>
        <w:t>із 50</w:t>
      </w:r>
      <w:r w:rsidR="006F0197">
        <w:rPr>
          <w:rFonts w:eastAsia="Times New Roman" w:cs="Times New Roman"/>
          <w:szCs w:val="28"/>
          <w:lang w:val="uk-UA" w:eastAsia="ru-RU"/>
        </w:rPr>
        <w:t>% до 50</w:t>
      </w:r>
      <w:r w:rsidR="00580FFC">
        <w:rPr>
          <w:rFonts w:eastAsia="Times New Roman" w:cs="Times New Roman"/>
          <w:szCs w:val="28"/>
          <w:lang w:val="uk-UA" w:eastAsia="ru-RU"/>
        </w:rPr>
        <w:t>% (Різниця 27</w:t>
      </w:r>
      <w:r w:rsidRPr="00C84EE0">
        <w:rPr>
          <w:rFonts w:eastAsia="Times New Roman" w:cs="Times New Roman"/>
          <w:szCs w:val="28"/>
          <w:lang w:val="uk-UA" w:eastAsia="ru-RU"/>
        </w:rPr>
        <w:t>%)</w:t>
      </w:r>
    </w:p>
    <w:p w:rsidR="006D1A4F" w:rsidRPr="0034431F" w:rsidRDefault="006D1A4F" w:rsidP="006D1A4F">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 xml:space="preserve">середнього рівня </w:t>
      </w:r>
      <w:r>
        <w:rPr>
          <w:rFonts w:eastAsia="Times New Roman" w:cs="Times New Roman"/>
          <w:b/>
          <w:szCs w:val="28"/>
          <w:lang w:val="uk-UA" w:eastAsia="ru-RU"/>
        </w:rPr>
        <w:t>підвищився</w:t>
      </w:r>
      <w:r w:rsidR="00166C00">
        <w:rPr>
          <w:rFonts w:eastAsia="Times New Roman" w:cs="Times New Roman"/>
          <w:szCs w:val="28"/>
          <w:lang w:val="uk-UA" w:eastAsia="ru-RU"/>
        </w:rPr>
        <w:t xml:space="preserve"> із </w:t>
      </w:r>
      <w:r w:rsidR="00AA0C4C">
        <w:rPr>
          <w:rFonts w:eastAsia="Times New Roman" w:cs="Times New Roman"/>
          <w:szCs w:val="28"/>
          <w:lang w:val="uk-UA" w:eastAsia="ru-RU"/>
        </w:rPr>
        <w:t>1</w:t>
      </w:r>
      <w:r w:rsidR="00166C00">
        <w:rPr>
          <w:rFonts w:eastAsia="Times New Roman" w:cs="Times New Roman"/>
          <w:szCs w:val="28"/>
          <w:lang w:val="uk-UA" w:eastAsia="ru-RU"/>
        </w:rPr>
        <w:t>8</w:t>
      </w:r>
      <w:r w:rsidR="006F0197">
        <w:rPr>
          <w:rFonts w:eastAsia="Times New Roman" w:cs="Times New Roman"/>
          <w:szCs w:val="28"/>
          <w:lang w:val="uk-UA" w:eastAsia="ru-RU"/>
        </w:rPr>
        <w:t>% до 28</w:t>
      </w:r>
      <w:r w:rsidR="00580FFC">
        <w:rPr>
          <w:rFonts w:eastAsia="Times New Roman" w:cs="Times New Roman"/>
          <w:szCs w:val="28"/>
          <w:lang w:val="uk-UA" w:eastAsia="ru-RU"/>
        </w:rPr>
        <w:t>% (Різниця 54</w:t>
      </w:r>
      <w:r w:rsidRPr="0034431F">
        <w:rPr>
          <w:rFonts w:eastAsia="Times New Roman" w:cs="Times New Roman"/>
          <w:szCs w:val="28"/>
          <w:lang w:val="uk-UA" w:eastAsia="ru-RU"/>
        </w:rPr>
        <w:t>%)</w:t>
      </w:r>
    </w:p>
    <w:p w:rsidR="006D1A4F" w:rsidRDefault="006D1A4F" w:rsidP="006D1A4F">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низького рівня</w:t>
      </w:r>
      <w:r w:rsidRPr="0034431F">
        <w:rPr>
          <w:rFonts w:eastAsia="Times New Roman" w:cs="Times New Roman"/>
          <w:b/>
          <w:szCs w:val="28"/>
          <w:lang w:val="uk-UA" w:eastAsia="ru-RU"/>
        </w:rPr>
        <w:t xml:space="preserve"> </w:t>
      </w:r>
      <w:r w:rsidR="006F0197">
        <w:rPr>
          <w:rFonts w:eastAsia="Times New Roman" w:cs="Times New Roman"/>
          <w:b/>
          <w:szCs w:val="28"/>
          <w:lang w:val="uk-UA" w:eastAsia="ru-RU"/>
        </w:rPr>
        <w:t xml:space="preserve">залишився сталим  </w:t>
      </w:r>
      <w:r w:rsidR="00AA0C4C">
        <w:rPr>
          <w:rFonts w:eastAsia="Times New Roman" w:cs="Times New Roman"/>
          <w:szCs w:val="28"/>
          <w:lang w:val="uk-UA" w:eastAsia="ru-RU"/>
        </w:rPr>
        <w:t>із 0</w:t>
      </w:r>
      <w:r w:rsidR="006F0197">
        <w:rPr>
          <w:rFonts w:eastAsia="Times New Roman" w:cs="Times New Roman"/>
          <w:szCs w:val="28"/>
          <w:lang w:val="uk-UA" w:eastAsia="ru-RU"/>
        </w:rPr>
        <w:t>% до 0</w:t>
      </w:r>
      <w:r w:rsidRPr="0034431F">
        <w:rPr>
          <w:rFonts w:eastAsia="Times New Roman" w:cs="Times New Roman"/>
          <w:szCs w:val="28"/>
          <w:lang w:val="uk-UA" w:eastAsia="ru-RU"/>
        </w:rPr>
        <w:t>% (Різ</w:t>
      </w:r>
      <w:r w:rsidR="00580FFC">
        <w:rPr>
          <w:rFonts w:eastAsia="Times New Roman" w:cs="Times New Roman"/>
          <w:szCs w:val="28"/>
          <w:lang w:val="uk-UA" w:eastAsia="ru-RU"/>
        </w:rPr>
        <w:t>ниця 5</w:t>
      </w:r>
      <w:r w:rsidRPr="0034431F">
        <w:rPr>
          <w:rFonts w:eastAsia="Times New Roman" w:cs="Times New Roman"/>
          <w:szCs w:val="28"/>
          <w:lang w:val="uk-UA" w:eastAsia="ru-RU"/>
        </w:rPr>
        <w:t>%)</w:t>
      </w:r>
    </w:p>
    <w:p w:rsidR="0010588D" w:rsidRDefault="0010588D" w:rsidP="0010588D">
      <w:pPr>
        <w:ind w:left="720"/>
        <w:jc w:val="both"/>
        <w:rPr>
          <w:rFonts w:eastAsia="Times New Roman" w:cs="Times New Roman"/>
          <w:szCs w:val="28"/>
          <w:lang w:val="uk-UA" w:eastAsia="ru-RU"/>
        </w:rPr>
      </w:pPr>
    </w:p>
    <w:p w:rsidR="0010588D" w:rsidRPr="005E4FC3" w:rsidRDefault="0010588D" w:rsidP="0010588D">
      <w:pPr>
        <w:pStyle w:val="a3"/>
        <w:jc w:val="both"/>
        <w:rPr>
          <w:rFonts w:eastAsia="Times New Roman" w:cs="Times New Roman"/>
          <w:szCs w:val="28"/>
          <w:lang w:val="uk-UA" w:eastAsia="ru-RU"/>
        </w:rPr>
      </w:pPr>
      <w:r w:rsidRPr="005E4FC3">
        <w:rPr>
          <w:rFonts w:eastAsia="Times New Roman" w:cs="Times New Roman"/>
          <w:szCs w:val="28"/>
          <w:lang w:val="uk-UA" w:eastAsia="ru-RU"/>
        </w:rPr>
        <w:t>У порівнян</w:t>
      </w:r>
      <w:r>
        <w:rPr>
          <w:rFonts w:eastAsia="Times New Roman" w:cs="Times New Roman"/>
          <w:szCs w:val="28"/>
          <w:lang w:val="uk-UA" w:eastAsia="ru-RU"/>
        </w:rPr>
        <w:t>н</w:t>
      </w:r>
      <w:r w:rsidRPr="005E4FC3">
        <w:rPr>
          <w:rFonts w:eastAsia="Times New Roman" w:cs="Times New Roman"/>
          <w:szCs w:val="28"/>
          <w:lang w:val="uk-UA" w:eastAsia="ru-RU"/>
        </w:rPr>
        <w:t>і з</w:t>
      </w:r>
      <w:r>
        <w:rPr>
          <w:rFonts w:eastAsia="Times New Roman" w:cs="Times New Roman"/>
          <w:szCs w:val="28"/>
          <w:lang w:val="uk-UA" w:eastAsia="ru-RU"/>
        </w:rPr>
        <w:t xml:space="preserve"> результатами оцінювання учнів </w:t>
      </w:r>
      <w:r w:rsidR="00F042CB">
        <w:rPr>
          <w:rFonts w:eastAsia="Times New Roman" w:cs="Times New Roman"/>
          <w:szCs w:val="28"/>
          <w:lang w:val="uk-UA" w:eastAsia="ru-RU"/>
        </w:rPr>
        <w:t xml:space="preserve">з математики </w:t>
      </w:r>
      <w:r w:rsidR="00967373">
        <w:rPr>
          <w:rFonts w:eastAsia="Times New Roman" w:cs="Times New Roman"/>
          <w:szCs w:val="28"/>
          <w:lang w:val="uk-UA" w:eastAsia="ru-RU"/>
        </w:rPr>
        <w:t xml:space="preserve">в </w:t>
      </w:r>
      <w:r>
        <w:rPr>
          <w:rFonts w:eastAsia="Times New Roman" w:cs="Times New Roman"/>
          <w:szCs w:val="28"/>
          <w:lang w:val="uk-UA" w:eastAsia="ru-RU"/>
        </w:rPr>
        <w:t>11</w:t>
      </w:r>
      <w:r w:rsidRPr="005E4FC3">
        <w:rPr>
          <w:rFonts w:eastAsia="Times New Roman" w:cs="Times New Roman"/>
          <w:szCs w:val="28"/>
          <w:lang w:val="uk-UA" w:eastAsia="ru-RU"/>
        </w:rPr>
        <w:t>-</w:t>
      </w:r>
      <w:r w:rsidR="00AA0C4C">
        <w:rPr>
          <w:rFonts w:eastAsia="Times New Roman" w:cs="Times New Roman"/>
          <w:szCs w:val="28"/>
          <w:lang w:val="uk-UA" w:eastAsia="ru-RU"/>
        </w:rPr>
        <w:t>Г</w:t>
      </w:r>
      <w:r w:rsidRPr="005E4FC3">
        <w:rPr>
          <w:rFonts w:eastAsia="Times New Roman" w:cs="Times New Roman"/>
          <w:szCs w:val="28"/>
          <w:lang w:val="uk-UA" w:eastAsia="ru-RU"/>
        </w:rPr>
        <w:t xml:space="preserve"> класу </w:t>
      </w:r>
      <w:r w:rsidR="00967373">
        <w:rPr>
          <w:rFonts w:eastAsia="Times New Roman" w:cs="Times New Roman"/>
          <w:szCs w:val="28"/>
          <w:lang w:val="uk-UA" w:eastAsia="ru-RU"/>
        </w:rPr>
        <w:t xml:space="preserve">на початок  </w:t>
      </w:r>
      <w:r w:rsidRPr="005E4FC3">
        <w:rPr>
          <w:rFonts w:eastAsia="Times New Roman" w:cs="Times New Roman"/>
          <w:szCs w:val="28"/>
          <w:lang w:val="uk-UA" w:eastAsia="ru-RU"/>
        </w:rPr>
        <w:t>2023-2024 навчального року  якісний показник складає:</w:t>
      </w:r>
    </w:p>
    <w:p w:rsidR="0010588D" w:rsidRDefault="0010588D" w:rsidP="0010588D">
      <w:pPr>
        <w:numPr>
          <w:ilvl w:val="0"/>
          <w:numId w:val="2"/>
        </w:numPr>
        <w:jc w:val="both"/>
        <w:rPr>
          <w:rFonts w:eastAsia="Times New Roman" w:cs="Times New Roman"/>
          <w:szCs w:val="28"/>
          <w:lang w:val="uk-UA" w:eastAsia="ru-RU"/>
        </w:rPr>
      </w:pPr>
      <w:r w:rsidRPr="00C84EE0">
        <w:rPr>
          <w:rFonts w:eastAsia="Times New Roman" w:cs="Times New Roman"/>
          <w:szCs w:val="28"/>
          <w:lang w:val="uk-UA" w:eastAsia="ru-RU"/>
        </w:rPr>
        <w:t>високого рівня</w:t>
      </w:r>
      <w:r w:rsidR="00580FFC" w:rsidRPr="00580FFC">
        <w:rPr>
          <w:rFonts w:eastAsia="Times New Roman" w:cs="Times New Roman"/>
          <w:b/>
          <w:szCs w:val="28"/>
          <w:lang w:val="uk-UA" w:eastAsia="ru-RU"/>
        </w:rPr>
        <w:t xml:space="preserve"> </w:t>
      </w:r>
      <w:r w:rsidR="00580FFC">
        <w:rPr>
          <w:rFonts w:eastAsia="Times New Roman" w:cs="Times New Roman"/>
          <w:b/>
          <w:szCs w:val="28"/>
          <w:lang w:val="uk-UA" w:eastAsia="ru-RU"/>
        </w:rPr>
        <w:t>знизився</w:t>
      </w:r>
      <w:r w:rsidR="00580FFC">
        <w:rPr>
          <w:rFonts w:eastAsia="Times New Roman" w:cs="Times New Roman"/>
          <w:szCs w:val="28"/>
          <w:lang w:val="uk-UA" w:eastAsia="ru-RU"/>
        </w:rPr>
        <w:t xml:space="preserve"> </w:t>
      </w:r>
      <w:r w:rsidR="00166C00">
        <w:rPr>
          <w:rFonts w:eastAsia="Times New Roman" w:cs="Times New Roman"/>
          <w:szCs w:val="28"/>
          <w:lang w:val="uk-UA" w:eastAsia="ru-RU"/>
        </w:rPr>
        <w:t>із 39</w:t>
      </w:r>
      <w:r>
        <w:rPr>
          <w:rFonts w:eastAsia="Times New Roman" w:cs="Times New Roman"/>
          <w:szCs w:val="28"/>
          <w:lang w:val="uk-UA" w:eastAsia="ru-RU"/>
        </w:rPr>
        <w:t>%</w:t>
      </w:r>
      <w:r w:rsidR="00384163">
        <w:rPr>
          <w:rFonts w:eastAsia="Times New Roman" w:cs="Times New Roman"/>
          <w:szCs w:val="28"/>
          <w:lang w:val="uk-UA" w:eastAsia="ru-RU"/>
        </w:rPr>
        <w:t xml:space="preserve"> до </w:t>
      </w:r>
      <w:r w:rsidR="006F0197">
        <w:rPr>
          <w:rFonts w:eastAsia="Times New Roman" w:cs="Times New Roman"/>
          <w:szCs w:val="28"/>
          <w:lang w:val="uk-UA" w:eastAsia="ru-RU"/>
        </w:rPr>
        <w:t>16</w:t>
      </w:r>
      <w:r w:rsidR="00580FFC">
        <w:rPr>
          <w:rFonts w:eastAsia="Times New Roman" w:cs="Times New Roman"/>
          <w:szCs w:val="28"/>
          <w:lang w:val="uk-UA" w:eastAsia="ru-RU"/>
        </w:rPr>
        <w:t>% (Різниця 39</w:t>
      </w:r>
      <w:r w:rsidRPr="00C84EE0">
        <w:rPr>
          <w:rFonts w:eastAsia="Times New Roman" w:cs="Times New Roman"/>
          <w:szCs w:val="28"/>
          <w:lang w:val="uk-UA" w:eastAsia="ru-RU"/>
        </w:rPr>
        <w:t>%)</w:t>
      </w:r>
    </w:p>
    <w:p w:rsidR="0010588D" w:rsidRPr="00C84EE0" w:rsidRDefault="0010588D" w:rsidP="0010588D">
      <w:pPr>
        <w:numPr>
          <w:ilvl w:val="0"/>
          <w:numId w:val="2"/>
        </w:numPr>
        <w:jc w:val="both"/>
        <w:rPr>
          <w:rFonts w:eastAsia="Times New Roman" w:cs="Times New Roman"/>
          <w:szCs w:val="28"/>
          <w:lang w:val="uk-UA" w:eastAsia="ru-RU"/>
        </w:rPr>
      </w:pPr>
      <w:r w:rsidRPr="00C84EE0">
        <w:rPr>
          <w:rFonts w:eastAsia="Times New Roman" w:cs="Times New Roman"/>
          <w:szCs w:val="28"/>
          <w:lang w:val="uk-UA" w:eastAsia="ru-RU"/>
        </w:rPr>
        <w:lastRenderedPageBreak/>
        <w:t xml:space="preserve">достатнього рівня </w:t>
      </w:r>
      <w:r w:rsidR="006F0197">
        <w:rPr>
          <w:rFonts w:eastAsia="Times New Roman" w:cs="Times New Roman"/>
          <w:b/>
          <w:szCs w:val="28"/>
          <w:lang w:val="uk-UA" w:eastAsia="ru-RU"/>
        </w:rPr>
        <w:t>підвищився</w:t>
      </w:r>
      <w:r>
        <w:rPr>
          <w:rFonts w:eastAsia="Times New Roman" w:cs="Times New Roman"/>
          <w:b/>
          <w:szCs w:val="28"/>
          <w:lang w:val="uk-UA" w:eastAsia="ru-RU"/>
        </w:rPr>
        <w:t xml:space="preserve"> </w:t>
      </w:r>
      <w:r w:rsidR="00166C00">
        <w:rPr>
          <w:rFonts w:eastAsia="Times New Roman" w:cs="Times New Roman"/>
          <w:szCs w:val="28"/>
          <w:lang w:val="uk-UA" w:eastAsia="ru-RU"/>
        </w:rPr>
        <w:t>із 39</w:t>
      </w:r>
      <w:r w:rsidR="006F0197">
        <w:rPr>
          <w:rFonts w:eastAsia="Times New Roman" w:cs="Times New Roman"/>
          <w:szCs w:val="28"/>
          <w:lang w:val="uk-UA" w:eastAsia="ru-RU"/>
        </w:rPr>
        <w:t>% до 42</w:t>
      </w:r>
      <w:r w:rsidR="00580FFC">
        <w:rPr>
          <w:rFonts w:eastAsia="Times New Roman" w:cs="Times New Roman"/>
          <w:szCs w:val="28"/>
          <w:lang w:val="uk-UA" w:eastAsia="ru-RU"/>
        </w:rPr>
        <w:t>% (Різниця 6</w:t>
      </w:r>
      <w:r w:rsidRPr="00C84EE0">
        <w:rPr>
          <w:rFonts w:eastAsia="Times New Roman" w:cs="Times New Roman"/>
          <w:szCs w:val="28"/>
          <w:lang w:val="uk-UA" w:eastAsia="ru-RU"/>
        </w:rPr>
        <w:t>%)</w:t>
      </w:r>
    </w:p>
    <w:p w:rsidR="0010588D" w:rsidRPr="0034431F" w:rsidRDefault="0010588D" w:rsidP="0010588D">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 xml:space="preserve">середнього рівня </w:t>
      </w:r>
      <w:r>
        <w:rPr>
          <w:rFonts w:eastAsia="Times New Roman" w:cs="Times New Roman"/>
          <w:b/>
          <w:szCs w:val="28"/>
          <w:lang w:val="uk-UA" w:eastAsia="ru-RU"/>
        </w:rPr>
        <w:t>підвищився</w:t>
      </w:r>
      <w:r w:rsidR="00166C00">
        <w:rPr>
          <w:rFonts w:eastAsia="Times New Roman" w:cs="Times New Roman"/>
          <w:szCs w:val="28"/>
          <w:lang w:val="uk-UA" w:eastAsia="ru-RU"/>
        </w:rPr>
        <w:t xml:space="preserve"> із 22</w:t>
      </w:r>
      <w:r w:rsidR="006F0197">
        <w:rPr>
          <w:rFonts w:eastAsia="Times New Roman" w:cs="Times New Roman"/>
          <w:szCs w:val="28"/>
          <w:lang w:val="uk-UA" w:eastAsia="ru-RU"/>
        </w:rPr>
        <w:t>% до 42</w:t>
      </w:r>
      <w:r w:rsidR="00580FFC">
        <w:rPr>
          <w:rFonts w:eastAsia="Times New Roman" w:cs="Times New Roman"/>
          <w:szCs w:val="28"/>
          <w:lang w:val="uk-UA" w:eastAsia="ru-RU"/>
        </w:rPr>
        <w:t>% (Різниця 28</w:t>
      </w:r>
      <w:r w:rsidRPr="0034431F">
        <w:rPr>
          <w:rFonts w:eastAsia="Times New Roman" w:cs="Times New Roman"/>
          <w:szCs w:val="28"/>
          <w:lang w:val="uk-UA" w:eastAsia="ru-RU"/>
        </w:rPr>
        <w:t>%)</w:t>
      </w:r>
    </w:p>
    <w:p w:rsidR="0010588D" w:rsidRDefault="0010588D" w:rsidP="0010588D">
      <w:pPr>
        <w:numPr>
          <w:ilvl w:val="0"/>
          <w:numId w:val="2"/>
        </w:numPr>
        <w:jc w:val="both"/>
        <w:rPr>
          <w:rFonts w:eastAsia="Times New Roman" w:cs="Times New Roman"/>
          <w:szCs w:val="28"/>
          <w:lang w:val="uk-UA" w:eastAsia="ru-RU"/>
        </w:rPr>
      </w:pPr>
      <w:r w:rsidRPr="0034431F">
        <w:rPr>
          <w:rFonts w:eastAsia="Times New Roman" w:cs="Times New Roman"/>
          <w:szCs w:val="28"/>
          <w:lang w:val="uk-UA" w:eastAsia="ru-RU"/>
        </w:rPr>
        <w:t>низького рівня</w:t>
      </w:r>
      <w:r w:rsidRPr="0034431F">
        <w:rPr>
          <w:rFonts w:eastAsia="Times New Roman" w:cs="Times New Roman"/>
          <w:b/>
          <w:szCs w:val="28"/>
          <w:lang w:val="uk-UA" w:eastAsia="ru-RU"/>
        </w:rPr>
        <w:t xml:space="preserve"> </w:t>
      </w:r>
      <w:r w:rsidR="006F0197">
        <w:rPr>
          <w:rFonts w:eastAsia="Times New Roman" w:cs="Times New Roman"/>
          <w:b/>
          <w:szCs w:val="28"/>
          <w:lang w:val="uk-UA" w:eastAsia="ru-RU"/>
        </w:rPr>
        <w:t xml:space="preserve">залишився сталим  </w:t>
      </w:r>
      <w:r w:rsidR="00166C00">
        <w:rPr>
          <w:rFonts w:eastAsia="Times New Roman" w:cs="Times New Roman"/>
          <w:szCs w:val="28"/>
          <w:lang w:val="uk-UA" w:eastAsia="ru-RU"/>
        </w:rPr>
        <w:t>із 0</w:t>
      </w:r>
      <w:r w:rsidR="006F0197">
        <w:rPr>
          <w:rFonts w:eastAsia="Times New Roman" w:cs="Times New Roman"/>
          <w:szCs w:val="28"/>
          <w:lang w:val="uk-UA" w:eastAsia="ru-RU"/>
        </w:rPr>
        <w:t>% до 0</w:t>
      </w:r>
      <w:r w:rsidRPr="0034431F">
        <w:rPr>
          <w:rFonts w:eastAsia="Times New Roman" w:cs="Times New Roman"/>
          <w:szCs w:val="28"/>
          <w:lang w:val="uk-UA" w:eastAsia="ru-RU"/>
        </w:rPr>
        <w:t>% (Різ</w:t>
      </w:r>
      <w:r w:rsidR="00580FFC">
        <w:rPr>
          <w:rFonts w:eastAsia="Times New Roman" w:cs="Times New Roman"/>
          <w:szCs w:val="28"/>
          <w:lang w:val="uk-UA" w:eastAsia="ru-RU"/>
        </w:rPr>
        <w:t>ниця 17</w:t>
      </w:r>
      <w:r w:rsidRPr="0034431F">
        <w:rPr>
          <w:rFonts w:eastAsia="Times New Roman" w:cs="Times New Roman"/>
          <w:szCs w:val="28"/>
          <w:lang w:val="uk-UA" w:eastAsia="ru-RU"/>
        </w:rPr>
        <w:t>%)</w:t>
      </w:r>
    </w:p>
    <w:p w:rsidR="006D1A4F" w:rsidRPr="0034431F" w:rsidRDefault="006D1A4F" w:rsidP="00580FFC">
      <w:pPr>
        <w:jc w:val="both"/>
        <w:rPr>
          <w:rFonts w:eastAsia="Times New Roman" w:cs="Times New Roman"/>
          <w:szCs w:val="28"/>
          <w:lang w:val="uk-UA" w:eastAsia="ru-RU"/>
        </w:rPr>
      </w:pPr>
    </w:p>
    <w:p w:rsidR="006D1A4F" w:rsidRDefault="006D1A4F" w:rsidP="006D1A4F">
      <w:pPr>
        <w:jc w:val="both"/>
        <w:rPr>
          <w:rFonts w:eastAsia="Times New Roman" w:cs="Times New Roman"/>
          <w:b/>
          <w:szCs w:val="28"/>
          <w:lang w:val="uk-UA" w:eastAsia="ru-RU"/>
        </w:rPr>
      </w:pPr>
      <w:r w:rsidRPr="0034431F">
        <w:rPr>
          <w:rFonts w:eastAsia="Times New Roman" w:cs="Times New Roman"/>
          <w:szCs w:val="28"/>
          <w:lang w:val="uk-UA" w:eastAsia="ru-RU"/>
        </w:rPr>
        <w:t xml:space="preserve">         Середній показник якості знань </w:t>
      </w:r>
      <w:r w:rsidR="00F042CB">
        <w:rPr>
          <w:rFonts w:eastAsia="Times New Roman" w:cs="Times New Roman"/>
          <w:szCs w:val="28"/>
          <w:lang w:val="uk-UA" w:eastAsia="ru-RU"/>
        </w:rPr>
        <w:t xml:space="preserve">з математики </w:t>
      </w:r>
      <w:r w:rsidR="002C510A">
        <w:rPr>
          <w:rFonts w:eastAsia="Times New Roman" w:cs="Times New Roman"/>
          <w:szCs w:val="28"/>
          <w:lang w:val="uk-UA" w:eastAsia="ru-RU"/>
        </w:rPr>
        <w:t>на початок</w:t>
      </w:r>
      <w:r w:rsidRPr="0034431F">
        <w:rPr>
          <w:rFonts w:eastAsia="Times New Roman" w:cs="Times New Roman"/>
          <w:szCs w:val="28"/>
          <w:lang w:val="uk-UA" w:eastAsia="ru-RU"/>
        </w:rPr>
        <w:t xml:space="preserve"> 2023-2024 </w:t>
      </w:r>
      <w:proofErr w:type="spellStart"/>
      <w:r w:rsidRPr="0034431F">
        <w:rPr>
          <w:rFonts w:eastAsia="Times New Roman" w:cs="Times New Roman"/>
          <w:szCs w:val="28"/>
          <w:lang w:val="uk-UA" w:eastAsia="ru-RU"/>
        </w:rPr>
        <w:t>н.р</w:t>
      </w:r>
      <w:proofErr w:type="spellEnd"/>
      <w:r w:rsidRPr="0034431F">
        <w:rPr>
          <w:rFonts w:eastAsia="Times New Roman" w:cs="Times New Roman"/>
          <w:szCs w:val="28"/>
          <w:lang w:val="uk-UA" w:eastAsia="ru-RU"/>
        </w:rPr>
        <w:t xml:space="preserve">.  </w:t>
      </w:r>
      <w:r>
        <w:rPr>
          <w:rFonts w:eastAsia="Times New Roman" w:cs="Times New Roman"/>
          <w:b/>
          <w:szCs w:val="28"/>
          <w:lang w:val="uk-UA" w:eastAsia="ru-RU"/>
        </w:rPr>
        <w:t>становив:</w:t>
      </w:r>
    </w:p>
    <w:p w:rsidR="006D1A4F" w:rsidRDefault="0010588D" w:rsidP="006D1A4F">
      <w:pPr>
        <w:jc w:val="both"/>
        <w:rPr>
          <w:rFonts w:eastAsia="Times New Roman" w:cs="Times New Roman"/>
          <w:b/>
          <w:szCs w:val="28"/>
          <w:lang w:val="uk-UA" w:eastAsia="ru-RU"/>
        </w:rPr>
      </w:pPr>
      <w:r>
        <w:rPr>
          <w:rFonts w:eastAsia="Times New Roman" w:cs="Times New Roman"/>
          <w:b/>
          <w:szCs w:val="28"/>
          <w:lang w:val="uk-UA" w:eastAsia="ru-RU"/>
        </w:rPr>
        <w:t>11</w:t>
      </w:r>
      <w:r w:rsidR="00AA0C4C">
        <w:rPr>
          <w:rFonts w:eastAsia="Times New Roman" w:cs="Times New Roman"/>
          <w:b/>
          <w:szCs w:val="28"/>
          <w:lang w:val="uk-UA" w:eastAsia="ru-RU"/>
        </w:rPr>
        <w:t>-А -  65</w:t>
      </w:r>
      <w:r w:rsidR="006D1A4F" w:rsidRPr="0034431F">
        <w:rPr>
          <w:rFonts w:eastAsia="Times New Roman" w:cs="Times New Roman"/>
          <w:b/>
          <w:szCs w:val="28"/>
          <w:lang w:val="uk-UA" w:eastAsia="ru-RU"/>
        </w:rPr>
        <w:t>%.</w:t>
      </w:r>
      <w:bookmarkStart w:id="0" w:name="_GoBack"/>
      <w:bookmarkEnd w:id="0"/>
    </w:p>
    <w:p w:rsidR="006D1A4F" w:rsidRPr="0034431F" w:rsidRDefault="0010588D" w:rsidP="006D1A4F">
      <w:pPr>
        <w:jc w:val="both"/>
        <w:rPr>
          <w:rFonts w:eastAsia="Times New Roman" w:cs="Times New Roman"/>
          <w:szCs w:val="28"/>
          <w:lang w:val="uk-UA" w:eastAsia="ru-RU"/>
        </w:rPr>
      </w:pPr>
      <w:r>
        <w:rPr>
          <w:rFonts w:eastAsia="Times New Roman" w:cs="Times New Roman"/>
          <w:b/>
          <w:szCs w:val="28"/>
          <w:lang w:val="uk-UA" w:eastAsia="ru-RU"/>
        </w:rPr>
        <w:t>11</w:t>
      </w:r>
      <w:r w:rsidR="00AA0C4C">
        <w:rPr>
          <w:rFonts w:eastAsia="Times New Roman" w:cs="Times New Roman"/>
          <w:b/>
          <w:szCs w:val="28"/>
          <w:lang w:val="uk-UA" w:eastAsia="ru-RU"/>
        </w:rPr>
        <w:t>-Б -  84</w:t>
      </w:r>
      <w:r w:rsidR="006D1A4F" w:rsidRPr="0034431F">
        <w:rPr>
          <w:rFonts w:eastAsia="Times New Roman" w:cs="Times New Roman"/>
          <w:b/>
          <w:szCs w:val="28"/>
          <w:lang w:val="uk-UA" w:eastAsia="ru-RU"/>
        </w:rPr>
        <w:t>%.</w:t>
      </w:r>
    </w:p>
    <w:p w:rsidR="006D1A4F" w:rsidRDefault="0010588D" w:rsidP="006D1A4F">
      <w:pPr>
        <w:jc w:val="both"/>
        <w:rPr>
          <w:rFonts w:eastAsia="Times New Roman" w:cs="Times New Roman"/>
          <w:b/>
          <w:szCs w:val="28"/>
          <w:lang w:val="uk-UA" w:eastAsia="ru-RU"/>
        </w:rPr>
      </w:pPr>
      <w:r>
        <w:rPr>
          <w:rFonts w:eastAsia="Times New Roman" w:cs="Times New Roman"/>
          <w:b/>
          <w:szCs w:val="28"/>
          <w:lang w:val="uk-UA" w:eastAsia="ru-RU"/>
        </w:rPr>
        <w:t>11</w:t>
      </w:r>
      <w:r w:rsidR="00AA0C4C">
        <w:rPr>
          <w:rFonts w:eastAsia="Times New Roman" w:cs="Times New Roman"/>
          <w:b/>
          <w:szCs w:val="28"/>
          <w:lang w:val="uk-UA" w:eastAsia="ru-RU"/>
        </w:rPr>
        <w:t>-В -  82</w:t>
      </w:r>
      <w:r w:rsidR="006D1A4F" w:rsidRPr="0034431F">
        <w:rPr>
          <w:rFonts w:eastAsia="Times New Roman" w:cs="Times New Roman"/>
          <w:b/>
          <w:szCs w:val="28"/>
          <w:lang w:val="uk-UA" w:eastAsia="ru-RU"/>
        </w:rPr>
        <w:t>%.</w:t>
      </w:r>
    </w:p>
    <w:p w:rsidR="0010588D" w:rsidRDefault="00384163" w:rsidP="0010588D">
      <w:pPr>
        <w:jc w:val="both"/>
        <w:rPr>
          <w:rFonts w:eastAsia="Times New Roman" w:cs="Times New Roman"/>
          <w:b/>
          <w:szCs w:val="28"/>
          <w:lang w:val="uk-UA" w:eastAsia="ru-RU"/>
        </w:rPr>
      </w:pPr>
      <w:r>
        <w:rPr>
          <w:rFonts w:eastAsia="Times New Roman" w:cs="Times New Roman"/>
          <w:b/>
          <w:szCs w:val="28"/>
          <w:lang w:val="uk-UA" w:eastAsia="ru-RU"/>
        </w:rPr>
        <w:t>11-Г -  7</w:t>
      </w:r>
      <w:r w:rsidR="0010588D">
        <w:rPr>
          <w:rFonts w:eastAsia="Times New Roman" w:cs="Times New Roman"/>
          <w:b/>
          <w:szCs w:val="28"/>
          <w:lang w:val="uk-UA" w:eastAsia="ru-RU"/>
        </w:rPr>
        <w:t>8</w:t>
      </w:r>
      <w:r w:rsidR="0010588D" w:rsidRPr="0034431F">
        <w:rPr>
          <w:rFonts w:eastAsia="Times New Roman" w:cs="Times New Roman"/>
          <w:b/>
          <w:szCs w:val="28"/>
          <w:lang w:val="uk-UA" w:eastAsia="ru-RU"/>
        </w:rPr>
        <w:t>%.</w:t>
      </w:r>
    </w:p>
    <w:p w:rsidR="006D1A4F" w:rsidRPr="0034431F" w:rsidRDefault="006D1A4F" w:rsidP="006D1A4F">
      <w:pPr>
        <w:jc w:val="both"/>
        <w:rPr>
          <w:rFonts w:eastAsia="Times New Roman" w:cs="Times New Roman"/>
          <w:szCs w:val="28"/>
          <w:lang w:val="uk-UA" w:eastAsia="ru-RU"/>
        </w:rPr>
      </w:pPr>
    </w:p>
    <w:p w:rsidR="006D1A4F" w:rsidRDefault="006D1A4F" w:rsidP="006D1A4F">
      <w:pPr>
        <w:jc w:val="both"/>
        <w:rPr>
          <w:rFonts w:eastAsia="Times New Roman" w:cs="Times New Roman"/>
          <w:b/>
          <w:szCs w:val="28"/>
          <w:lang w:val="uk-UA" w:eastAsia="ru-RU"/>
        </w:rPr>
      </w:pPr>
      <w:r w:rsidRPr="0034431F">
        <w:rPr>
          <w:rFonts w:eastAsia="Times New Roman" w:cs="Times New Roman"/>
          <w:szCs w:val="28"/>
          <w:lang w:val="uk-UA" w:eastAsia="ru-RU"/>
        </w:rPr>
        <w:t xml:space="preserve">Середній показник якості знань за результатами </w:t>
      </w:r>
      <w:r>
        <w:rPr>
          <w:rFonts w:eastAsia="Times New Roman" w:cs="Times New Roman"/>
          <w:szCs w:val="28"/>
          <w:lang w:val="uk-UA" w:eastAsia="ru-RU"/>
        </w:rPr>
        <w:t xml:space="preserve">адміністративної контрольної роботи </w:t>
      </w:r>
      <w:r w:rsidRPr="0034431F">
        <w:rPr>
          <w:rFonts w:eastAsia="Times New Roman" w:cs="Times New Roman"/>
          <w:szCs w:val="28"/>
          <w:lang w:val="uk-UA" w:eastAsia="ru-RU"/>
        </w:rPr>
        <w:t xml:space="preserve">2023-2024 </w:t>
      </w:r>
      <w:proofErr w:type="spellStart"/>
      <w:r w:rsidRPr="0034431F">
        <w:rPr>
          <w:rFonts w:eastAsia="Times New Roman" w:cs="Times New Roman"/>
          <w:szCs w:val="28"/>
          <w:lang w:val="uk-UA" w:eastAsia="ru-RU"/>
        </w:rPr>
        <w:t>н.р</w:t>
      </w:r>
      <w:proofErr w:type="spellEnd"/>
      <w:r w:rsidRPr="0034431F">
        <w:rPr>
          <w:rFonts w:eastAsia="Times New Roman" w:cs="Times New Roman"/>
          <w:szCs w:val="28"/>
          <w:lang w:val="uk-UA" w:eastAsia="ru-RU"/>
        </w:rPr>
        <w:t xml:space="preserve">.  </w:t>
      </w:r>
      <w:r>
        <w:rPr>
          <w:rFonts w:eastAsia="Times New Roman" w:cs="Times New Roman"/>
          <w:b/>
          <w:szCs w:val="28"/>
          <w:lang w:val="uk-UA" w:eastAsia="ru-RU"/>
        </w:rPr>
        <w:t>становить :</w:t>
      </w:r>
    </w:p>
    <w:p w:rsidR="006D1A4F" w:rsidRDefault="0010588D" w:rsidP="006D1A4F">
      <w:pPr>
        <w:jc w:val="both"/>
        <w:rPr>
          <w:rFonts w:eastAsia="Times New Roman" w:cs="Times New Roman"/>
          <w:b/>
          <w:szCs w:val="28"/>
          <w:lang w:val="uk-UA" w:eastAsia="ru-RU"/>
        </w:rPr>
      </w:pPr>
      <w:r>
        <w:rPr>
          <w:rFonts w:eastAsia="Times New Roman" w:cs="Times New Roman"/>
          <w:b/>
          <w:szCs w:val="28"/>
          <w:lang w:val="uk-UA" w:eastAsia="ru-RU"/>
        </w:rPr>
        <w:t>11</w:t>
      </w:r>
      <w:r w:rsidR="00AA0C4C">
        <w:rPr>
          <w:rFonts w:eastAsia="Times New Roman" w:cs="Times New Roman"/>
          <w:b/>
          <w:szCs w:val="28"/>
          <w:lang w:val="uk-UA" w:eastAsia="ru-RU"/>
        </w:rPr>
        <w:t>-А -  61</w:t>
      </w:r>
      <w:r w:rsidR="006D1A4F" w:rsidRPr="0034431F">
        <w:rPr>
          <w:rFonts w:eastAsia="Times New Roman" w:cs="Times New Roman"/>
          <w:b/>
          <w:szCs w:val="28"/>
          <w:lang w:val="uk-UA" w:eastAsia="ru-RU"/>
        </w:rPr>
        <w:t>%.</w:t>
      </w:r>
    </w:p>
    <w:p w:rsidR="006D1A4F" w:rsidRPr="0034431F" w:rsidRDefault="0010588D" w:rsidP="006D1A4F">
      <w:pPr>
        <w:jc w:val="both"/>
        <w:rPr>
          <w:rFonts w:eastAsia="Times New Roman" w:cs="Times New Roman"/>
          <w:szCs w:val="28"/>
          <w:lang w:val="uk-UA" w:eastAsia="ru-RU"/>
        </w:rPr>
      </w:pPr>
      <w:r>
        <w:rPr>
          <w:rFonts w:eastAsia="Times New Roman" w:cs="Times New Roman"/>
          <w:b/>
          <w:szCs w:val="28"/>
          <w:lang w:val="uk-UA" w:eastAsia="ru-RU"/>
        </w:rPr>
        <w:t>11</w:t>
      </w:r>
      <w:r w:rsidR="00AA0C4C">
        <w:rPr>
          <w:rFonts w:eastAsia="Times New Roman" w:cs="Times New Roman"/>
          <w:b/>
          <w:szCs w:val="28"/>
          <w:lang w:val="uk-UA" w:eastAsia="ru-RU"/>
        </w:rPr>
        <w:t>-Б -  59</w:t>
      </w:r>
      <w:r w:rsidR="006D1A4F" w:rsidRPr="0034431F">
        <w:rPr>
          <w:rFonts w:eastAsia="Times New Roman" w:cs="Times New Roman"/>
          <w:b/>
          <w:szCs w:val="28"/>
          <w:lang w:val="uk-UA" w:eastAsia="ru-RU"/>
        </w:rPr>
        <w:t>%.</w:t>
      </w:r>
    </w:p>
    <w:p w:rsidR="006D1A4F" w:rsidRDefault="0010588D" w:rsidP="006D1A4F">
      <w:pPr>
        <w:jc w:val="both"/>
        <w:rPr>
          <w:rFonts w:eastAsia="Times New Roman" w:cs="Times New Roman"/>
          <w:b/>
          <w:szCs w:val="28"/>
          <w:lang w:val="uk-UA" w:eastAsia="ru-RU"/>
        </w:rPr>
      </w:pPr>
      <w:r>
        <w:rPr>
          <w:rFonts w:eastAsia="Times New Roman" w:cs="Times New Roman"/>
          <w:b/>
          <w:szCs w:val="28"/>
          <w:lang w:val="uk-UA" w:eastAsia="ru-RU"/>
        </w:rPr>
        <w:t>11</w:t>
      </w:r>
      <w:r w:rsidR="00AA0C4C">
        <w:rPr>
          <w:rFonts w:eastAsia="Times New Roman" w:cs="Times New Roman"/>
          <w:b/>
          <w:szCs w:val="28"/>
          <w:lang w:val="uk-UA" w:eastAsia="ru-RU"/>
        </w:rPr>
        <w:t>-В -  72</w:t>
      </w:r>
      <w:r w:rsidR="006D1A4F" w:rsidRPr="0034431F">
        <w:rPr>
          <w:rFonts w:eastAsia="Times New Roman" w:cs="Times New Roman"/>
          <w:b/>
          <w:szCs w:val="28"/>
          <w:lang w:val="uk-UA" w:eastAsia="ru-RU"/>
        </w:rPr>
        <w:t>%.</w:t>
      </w:r>
    </w:p>
    <w:p w:rsidR="0010588D" w:rsidRDefault="00AA0C4C" w:rsidP="0010588D">
      <w:pPr>
        <w:jc w:val="both"/>
        <w:rPr>
          <w:rFonts w:eastAsia="Times New Roman" w:cs="Times New Roman"/>
          <w:b/>
          <w:szCs w:val="28"/>
          <w:lang w:val="uk-UA" w:eastAsia="ru-RU"/>
        </w:rPr>
      </w:pPr>
      <w:r>
        <w:rPr>
          <w:rFonts w:eastAsia="Times New Roman" w:cs="Times New Roman"/>
          <w:b/>
          <w:szCs w:val="28"/>
          <w:lang w:val="uk-UA" w:eastAsia="ru-RU"/>
        </w:rPr>
        <w:t>11-Г -  58</w:t>
      </w:r>
      <w:r w:rsidR="0010588D" w:rsidRPr="0034431F">
        <w:rPr>
          <w:rFonts w:eastAsia="Times New Roman" w:cs="Times New Roman"/>
          <w:b/>
          <w:szCs w:val="28"/>
          <w:lang w:val="uk-UA" w:eastAsia="ru-RU"/>
        </w:rPr>
        <w:t>%.</w:t>
      </w:r>
    </w:p>
    <w:p w:rsidR="005647B6" w:rsidRDefault="005647B6">
      <w:pPr>
        <w:rPr>
          <w:lang w:val="uk-UA"/>
        </w:rPr>
      </w:pPr>
    </w:p>
    <w:p w:rsidR="00BC361D" w:rsidRPr="00BC361D" w:rsidRDefault="00BC361D" w:rsidP="00BC361D">
      <w:pPr>
        <w:jc w:val="center"/>
        <w:rPr>
          <w:rFonts w:cs="Times New Roman"/>
          <w:b/>
          <w:szCs w:val="28"/>
          <w:lang w:val="uk-UA"/>
        </w:rPr>
      </w:pPr>
      <w:r w:rsidRPr="00BC361D">
        <w:rPr>
          <w:rFonts w:cs="Times New Roman"/>
          <w:b/>
          <w:szCs w:val="28"/>
          <w:lang w:val="uk-UA"/>
        </w:rPr>
        <w:t>Рекомендації щодо покращення рівня якості знань учнів:</w:t>
      </w:r>
    </w:p>
    <w:p w:rsidR="00BC361D" w:rsidRDefault="00BC361D" w:rsidP="00BC361D">
      <w:pPr>
        <w:rPr>
          <w:b/>
          <w:lang w:val="uk-UA"/>
        </w:rPr>
      </w:pPr>
    </w:p>
    <w:p w:rsidR="00BC361D" w:rsidRPr="007A1D40" w:rsidRDefault="00BC361D" w:rsidP="00BC361D">
      <w:pPr>
        <w:pStyle w:val="a3"/>
        <w:numPr>
          <w:ilvl w:val="0"/>
          <w:numId w:val="1"/>
        </w:numPr>
        <w:spacing w:line="360" w:lineRule="auto"/>
        <w:jc w:val="both"/>
        <w:rPr>
          <w:lang w:val="uk-UA"/>
        </w:rPr>
      </w:pPr>
      <w:r w:rsidRPr="007A1D40">
        <w:rPr>
          <w:lang w:val="uk-UA"/>
        </w:rPr>
        <w:t xml:space="preserve">Здійснити </w:t>
      </w:r>
      <w:r>
        <w:rPr>
          <w:lang w:val="uk-UA"/>
        </w:rPr>
        <w:t xml:space="preserve">адаптивне </w:t>
      </w:r>
      <w:r w:rsidRPr="007A1D40">
        <w:rPr>
          <w:lang w:val="uk-UA"/>
        </w:rPr>
        <w:t>коригу</w:t>
      </w:r>
      <w:r>
        <w:rPr>
          <w:lang w:val="uk-UA"/>
        </w:rPr>
        <w:t>вання</w:t>
      </w:r>
      <w:r w:rsidRPr="007A1D40">
        <w:rPr>
          <w:lang w:val="uk-UA"/>
        </w:rPr>
        <w:t xml:space="preserve"> календарно-тематичних планів з урахуванням потреби в подоланні освітніх втрат і освітніх розривів</w:t>
      </w:r>
      <w:r>
        <w:rPr>
          <w:lang w:val="uk-UA"/>
        </w:rPr>
        <w:t>.</w:t>
      </w:r>
    </w:p>
    <w:p w:rsidR="00BC361D" w:rsidRPr="007A1D40" w:rsidRDefault="00BC361D" w:rsidP="00BC361D">
      <w:pPr>
        <w:pStyle w:val="a3"/>
        <w:numPr>
          <w:ilvl w:val="0"/>
          <w:numId w:val="1"/>
        </w:numPr>
        <w:spacing w:line="360" w:lineRule="auto"/>
        <w:jc w:val="both"/>
        <w:rPr>
          <w:lang w:val="uk-UA"/>
        </w:rPr>
      </w:pPr>
      <w:r w:rsidRPr="007A1D40">
        <w:rPr>
          <w:lang w:val="uk-UA"/>
        </w:rPr>
        <w:t>Проводити індивідуальні та гру</w:t>
      </w:r>
      <w:r>
        <w:rPr>
          <w:lang w:val="uk-UA"/>
        </w:rPr>
        <w:t>пові консультації, факультативи (за окремим графіком).</w:t>
      </w:r>
    </w:p>
    <w:p w:rsidR="00BC361D" w:rsidRPr="007A1D40" w:rsidRDefault="00BC361D" w:rsidP="00BC361D">
      <w:pPr>
        <w:pStyle w:val="a3"/>
        <w:numPr>
          <w:ilvl w:val="0"/>
          <w:numId w:val="1"/>
        </w:numPr>
        <w:spacing w:line="360" w:lineRule="auto"/>
        <w:jc w:val="both"/>
        <w:rPr>
          <w:lang w:val="uk-UA"/>
        </w:rPr>
      </w:pPr>
      <w:r>
        <w:rPr>
          <w:lang w:val="uk-UA"/>
        </w:rPr>
        <w:t xml:space="preserve">За потреби </w:t>
      </w:r>
      <w:r w:rsidRPr="007A1D40">
        <w:rPr>
          <w:lang w:val="uk-UA"/>
        </w:rPr>
        <w:t>перерозподіл</w:t>
      </w:r>
      <w:r>
        <w:rPr>
          <w:lang w:val="uk-UA"/>
        </w:rPr>
        <w:t>ити навчальний час</w:t>
      </w:r>
      <w:r w:rsidRPr="007A1D40">
        <w:rPr>
          <w:lang w:val="uk-UA"/>
        </w:rPr>
        <w:t xml:space="preserve"> між темами</w:t>
      </w:r>
      <w:r>
        <w:rPr>
          <w:lang w:val="uk-UA"/>
        </w:rPr>
        <w:t>.</w:t>
      </w:r>
    </w:p>
    <w:p w:rsidR="00BC361D" w:rsidRDefault="00BC361D" w:rsidP="00BC361D">
      <w:pPr>
        <w:pStyle w:val="a3"/>
        <w:numPr>
          <w:ilvl w:val="0"/>
          <w:numId w:val="1"/>
        </w:numPr>
        <w:spacing w:line="360" w:lineRule="auto"/>
        <w:jc w:val="both"/>
        <w:rPr>
          <w:lang w:val="uk-UA"/>
        </w:rPr>
      </w:pPr>
      <w:r w:rsidRPr="007A1D40">
        <w:rPr>
          <w:lang w:val="uk-UA"/>
        </w:rPr>
        <w:t>У роботі з обдарованими дітьми використовувати за</w:t>
      </w:r>
      <w:r>
        <w:rPr>
          <w:lang w:val="uk-UA"/>
        </w:rPr>
        <w:t xml:space="preserve">вдання різних рівнів складності. </w:t>
      </w:r>
    </w:p>
    <w:p w:rsidR="00BC361D" w:rsidRPr="00BC361D" w:rsidRDefault="00BC361D">
      <w:pPr>
        <w:rPr>
          <w:lang w:val="uk-UA"/>
        </w:rPr>
      </w:pPr>
    </w:p>
    <w:sectPr w:rsidR="00BC361D" w:rsidRPr="00BC361D" w:rsidSect="00DC14D4">
      <w:pgSz w:w="11906" w:h="16838"/>
      <w:pgMar w:top="1134" w:right="850"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D32"/>
    <w:multiLevelType w:val="multilevel"/>
    <w:tmpl w:val="29F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C07C71"/>
    <w:multiLevelType w:val="hybridMultilevel"/>
    <w:tmpl w:val="EAB23D3A"/>
    <w:lvl w:ilvl="0" w:tplc="A08A7E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0C01EE"/>
    <w:multiLevelType w:val="hybridMultilevel"/>
    <w:tmpl w:val="9E048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FA1207"/>
    <w:multiLevelType w:val="hybridMultilevel"/>
    <w:tmpl w:val="FE221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1D"/>
    <w:rsid w:val="001048A5"/>
    <w:rsid w:val="0010588D"/>
    <w:rsid w:val="00166C00"/>
    <w:rsid w:val="002C510A"/>
    <w:rsid w:val="00384163"/>
    <w:rsid w:val="00443F83"/>
    <w:rsid w:val="005647B6"/>
    <w:rsid w:val="00580FFC"/>
    <w:rsid w:val="005B37FB"/>
    <w:rsid w:val="005B6F1F"/>
    <w:rsid w:val="00693BA8"/>
    <w:rsid w:val="006D1A4F"/>
    <w:rsid w:val="006F0197"/>
    <w:rsid w:val="00731A31"/>
    <w:rsid w:val="007764CE"/>
    <w:rsid w:val="007E4847"/>
    <w:rsid w:val="00895EC3"/>
    <w:rsid w:val="00967373"/>
    <w:rsid w:val="009C4D28"/>
    <w:rsid w:val="00AA0C4C"/>
    <w:rsid w:val="00BC361D"/>
    <w:rsid w:val="00C25E35"/>
    <w:rsid w:val="00CB49DB"/>
    <w:rsid w:val="00D02C6C"/>
    <w:rsid w:val="00D967E1"/>
    <w:rsid w:val="00DC14D4"/>
    <w:rsid w:val="00E22CB1"/>
    <w:rsid w:val="00E86D18"/>
    <w:rsid w:val="00F042CB"/>
    <w:rsid w:val="00F61AD0"/>
    <w:rsid w:val="00FB3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61D"/>
    <w:pPr>
      <w:ind w:left="720"/>
      <w:contextualSpacing/>
    </w:pPr>
  </w:style>
  <w:style w:type="table" w:styleId="a4">
    <w:name w:val="Table Grid"/>
    <w:basedOn w:val="a1"/>
    <w:uiPriority w:val="59"/>
    <w:rsid w:val="00DC1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93BA8"/>
    <w:rPr>
      <w:rFonts w:ascii="Tahoma" w:hAnsi="Tahoma" w:cs="Tahoma"/>
      <w:sz w:val="16"/>
      <w:szCs w:val="16"/>
    </w:rPr>
  </w:style>
  <w:style w:type="character" w:customStyle="1" w:styleId="a6">
    <w:name w:val="Текст выноски Знак"/>
    <w:basedOn w:val="a0"/>
    <w:link w:val="a5"/>
    <w:uiPriority w:val="99"/>
    <w:semiHidden/>
    <w:rsid w:val="00693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61D"/>
    <w:pPr>
      <w:ind w:left="720"/>
      <w:contextualSpacing/>
    </w:pPr>
  </w:style>
  <w:style w:type="table" w:styleId="a4">
    <w:name w:val="Table Grid"/>
    <w:basedOn w:val="a1"/>
    <w:uiPriority w:val="59"/>
    <w:rsid w:val="00DC1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93BA8"/>
    <w:rPr>
      <w:rFonts w:ascii="Tahoma" w:hAnsi="Tahoma" w:cs="Tahoma"/>
      <w:sz w:val="16"/>
      <w:szCs w:val="16"/>
    </w:rPr>
  </w:style>
  <w:style w:type="character" w:customStyle="1" w:styleId="a6">
    <w:name w:val="Текст выноски Знак"/>
    <w:basedOn w:val="a0"/>
    <w:link w:val="a5"/>
    <w:uiPriority w:val="99"/>
    <w:semiHidden/>
    <w:rsid w:val="00693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uk-UA" sz="1800" b="1" i="0" u="none" strike="noStrike" baseline="0">
                <a:effectLst/>
              </a:rPr>
              <a:t>Річна адміністративна контрольна робота з математики 11-А</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1"/>
          <c:order val="1"/>
          <c:explosion val="25"/>
          <c:dLbls>
            <c:dLbl>
              <c:idx val="0"/>
              <c:layout>
                <c:manualLayout>
                  <c:x val="-4.1102799650043743E-2"/>
                  <c:y val="7.4769612131816821E-2"/>
                </c:manualLayout>
              </c:layout>
              <c:tx>
                <c:rich>
                  <a:bodyPr/>
                  <a:lstStyle/>
                  <a:p>
                    <a:pPr>
                      <a:defRPr b="1"/>
                    </a:pPr>
                    <a:r>
                      <a:rPr lang="uk-UA" b="1">
                        <a:solidFill>
                          <a:schemeClr val="bg1"/>
                        </a:solidFill>
                      </a:rPr>
                      <a:t>9</a:t>
                    </a:r>
                    <a:r>
                      <a:rPr lang="en-US" b="1">
                        <a:solidFill>
                          <a:schemeClr val="bg1"/>
                        </a:solidFill>
                      </a:rPr>
                      <a:t>%</a:t>
                    </a:r>
                  </a:p>
                </c:rich>
              </c:tx>
              <c:spPr/>
              <c:dLblPos val="bestFit"/>
              <c:showLegendKey val="0"/>
              <c:showVal val="0"/>
              <c:showCatName val="0"/>
              <c:showSerName val="0"/>
              <c:showPercent val="1"/>
              <c:showBubbleSize val="0"/>
            </c:dLbl>
            <c:dLbl>
              <c:idx val="1"/>
              <c:tx>
                <c:rich>
                  <a:bodyPr/>
                  <a:lstStyle/>
                  <a:p>
                    <a:r>
                      <a:rPr lang="en-US" b="1">
                        <a:solidFill>
                          <a:schemeClr val="bg1"/>
                        </a:solidFill>
                      </a:rPr>
                      <a:t>3</a:t>
                    </a:r>
                    <a:r>
                      <a:rPr lang="uk-UA" b="1">
                        <a:solidFill>
                          <a:schemeClr val="bg1"/>
                        </a:solidFill>
                      </a:rPr>
                      <a:t>0</a:t>
                    </a:r>
                    <a:r>
                      <a:rPr lang="en-US" b="1">
                        <a:solidFill>
                          <a:schemeClr val="bg1"/>
                        </a:solidFill>
                      </a:rPr>
                      <a:t>%</a:t>
                    </a:r>
                  </a:p>
                </c:rich>
              </c:tx>
              <c:dLblPos val="bestFit"/>
              <c:showLegendKey val="0"/>
              <c:showVal val="0"/>
              <c:showCatName val="0"/>
              <c:showSerName val="0"/>
              <c:showPercent val="1"/>
              <c:showBubbleSize val="0"/>
            </c:dLbl>
            <c:dLbl>
              <c:idx val="2"/>
              <c:layout>
                <c:manualLayout>
                  <c:x val="0.15397244094488191"/>
                  <c:y val="-0.15166010498687665"/>
                </c:manualLayout>
              </c:layout>
              <c:spPr/>
              <c:txPr>
                <a:bodyPr/>
                <a:lstStyle/>
                <a:p>
                  <a:pPr>
                    <a:defRPr b="1">
                      <a:solidFill>
                        <a:schemeClr val="bg1"/>
                      </a:solidFill>
                    </a:defRPr>
                  </a:pPr>
                  <a:endParaRPr lang="ru-RU"/>
                </a:p>
              </c:txPr>
              <c:dLblPos val="bestFit"/>
              <c:showLegendKey val="0"/>
              <c:showVal val="0"/>
              <c:showCatName val="0"/>
              <c:showSerName val="0"/>
              <c:showPercent val="1"/>
              <c:showBubbleSize val="0"/>
            </c:dLbl>
            <c:dLbl>
              <c:idx val="3"/>
              <c:spPr/>
              <c:txPr>
                <a:bodyPr/>
                <a:lstStyle/>
                <a:p>
                  <a:pPr>
                    <a:defRPr b="1">
                      <a:solidFill>
                        <a:schemeClr val="bg1"/>
                      </a:solidFill>
                    </a:defRPr>
                  </a:pPr>
                  <a:endParaRPr lang="ru-RU"/>
                </a:p>
              </c:txPr>
              <c:dLblPos val="bestFit"/>
              <c:showLegendKey val="0"/>
              <c:showVal val="0"/>
              <c:showCatName val="0"/>
              <c:showSerName val="0"/>
              <c:showPercent val="1"/>
              <c:showBubbleSize val="0"/>
            </c:dLbl>
            <c:dLblPos val="bestFit"/>
            <c:showLegendKey val="0"/>
            <c:showVal val="0"/>
            <c:showCatName val="0"/>
            <c:showSerName val="0"/>
            <c:showPercent val="1"/>
            <c:showBubbleSize val="0"/>
            <c:showLeaderLines val="1"/>
          </c:dLbls>
          <c:cat>
            <c:strRef>
              <c:f>'[11_Математика_2023_2024.xlsx]1'!$A$13:$A$16</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'[11_Математика_2023_2024.xlsx]1'!$D$13:$D$16</c:f>
              <c:numCache>
                <c:formatCode>0%</c:formatCode>
                <c:ptCount val="4"/>
                <c:pt idx="0">
                  <c:v>0.09</c:v>
                </c:pt>
                <c:pt idx="1">
                  <c:v>0.3</c:v>
                </c:pt>
                <c:pt idx="2">
                  <c:v>0.48</c:v>
                </c:pt>
                <c:pt idx="3">
                  <c:v>0.13</c:v>
                </c:pt>
              </c:numCache>
            </c:numRef>
          </c:val>
        </c:ser>
        <c:ser>
          <c:idx val="0"/>
          <c:order val="0"/>
          <c:explosion val="25"/>
          <c:dLbls>
            <c:dLbl>
              <c:idx val="0"/>
              <c:delete val="1"/>
            </c:dLbl>
            <c:dLbl>
              <c:idx val="1"/>
              <c:tx>
                <c:rich>
                  <a:bodyPr/>
                  <a:lstStyle/>
                  <a:p>
                    <a:pPr>
                      <a:defRPr sz="1100" b="1">
                        <a:solidFill>
                          <a:schemeClr val="bg1"/>
                        </a:solidFill>
                      </a:defRPr>
                    </a:pPr>
                    <a:r>
                      <a:rPr lang="uk-UA"/>
                      <a:t>37</a:t>
                    </a:r>
                    <a:r>
                      <a:rPr lang="en-US"/>
                      <a:t>%</a:t>
                    </a:r>
                  </a:p>
                </c:rich>
              </c:tx>
              <c:numFmt formatCode="0.00%" sourceLinked="0"/>
              <c:spPr/>
              <c:dLblPos val="bestFit"/>
              <c:showLegendKey val="0"/>
              <c:showVal val="0"/>
              <c:showCatName val="0"/>
              <c:showSerName val="0"/>
              <c:showPercent val="1"/>
              <c:showBubbleSize val="0"/>
            </c:dLbl>
            <c:dLbl>
              <c:idx val="2"/>
              <c:layout>
                <c:manualLayout>
                  <c:x val="0.16451049868766404"/>
                  <c:y val="-0.12902777777777785"/>
                </c:manualLayout>
              </c:layout>
              <c:tx>
                <c:rich>
                  <a:bodyPr/>
                  <a:lstStyle/>
                  <a:p>
                    <a:pPr>
                      <a:defRPr sz="1100" b="1">
                        <a:solidFill>
                          <a:sysClr val="windowText" lastClr="000000"/>
                        </a:solidFill>
                      </a:defRPr>
                    </a:pPr>
                    <a:r>
                      <a:rPr lang="uk-UA"/>
                      <a:t>47</a:t>
                    </a:r>
                    <a:r>
                      <a:rPr lang="en-US"/>
                      <a:t>%</a:t>
                    </a:r>
                  </a:p>
                </c:rich>
              </c:tx>
              <c:numFmt formatCode="0.0%" sourceLinked="0"/>
              <c:spPr/>
              <c:dLblPos val="bestFit"/>
              <c:showLegendKey val="0"/>
              <c:showVal val="0"/>
              <c:showCatName val="0"/>
              <c:showSerName val="0"/>
              <c:showPercent val="1"/>
              <c:showBubbleSize val="0"/>
            </c:dLbl>
            <c:dLbl>
              <c:idx val="3"/>
              <c:dLblPos val="bestFit"/>
              <c:showLegendKey val="0"/>
              <c:showVal val="1"/>
              <c:showCatName val="0"/>
              <c:showSerName val="0"/>
              <c:showPercent val="0"/>
              <c:showBubbleSize val="0"/>
            </c:dLbl>
            <c:txPr>
              <a:bodyPr/>
              <a:lstStyle/>
              <a:p>
                <a:pPr>
                  <a:defRPr sz="1100" b="1">
                    <a:solidFill>
                      <a:schemeClr val="bg1"/>
                    </a:solidFill>
                  </a:defRPr>
                </a:pPr>
                <a:endParaRPr lang="ru-RU"/>
              </a:p>
            </c:txPr>
            <c:dLblPos val="bestFit"/>
            <c:showLegendKey val="0"/>
            <c:showVal val="0"/>
            <c:showCatName val="0"/>
            <c:showSerName val="0"/>
            <c:showPercent val="1"/>
            <c:showBubbleSize val="0"/>
            <c:showLeaderLines val="1"/>
          </c:dLbls>
          <c:cat>
            <c:strRef>
              <c:f>'[11_Математика_2023_2024.xlsx]1'!$A$13:$A$16</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'[11_Математика_2023_2024.xlsx]1'!$D$13:$D$16</c:f>
              <c:numCache>
                <c:formatCode>0%</c:formatCode>
                <c:ptCount val="4"/>
                <c:pt idx="0">
                  <c:v>0.09</c:v>
                </c:pt>
                <c:pt idx="1">
                  <c:v>0.3</c:v>
                </c:pt>
                <c:pt idx="2">
                  <c:v>0.48</c:v>
                </c:pt>
                <c:pt idx="3">
                  <c:v>0.13</c:v>
                </c:pt>
              </c:numCache>
            </c:numRef>
          </c:val>
        </c:ser>
        <c:dLbls>
          <c:dLblPos val="bestFit"/>
          <c:showLegendKey val="0"/>
          <c:showVal val="0"/>
          <c:showCatName val="0"/>
          <c:showSerName val="0"/>
          <c:showPercent val="1"/>
          <c:showBubbleSize val="0"/>
          <c:showLeaderLines val="1"/>
        </c:dLbls>
      </c:pie3DChart>
    </c:plotArea>
    <c:legend>
      <c:legendPos val="r"/>
      <c:overlay val="0"/>
      <c:txPr>
        <a:bodyPr/>
        <a:lstStyle/>
        <a:p>
          <a:pPr>
            <a:defRPr sz="11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uk-UA"/>
              <a:t>Річна адміністративна контрольна робота з математики 11-Б</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delete val="1"/>
            </c:dLbl>
            <c:dLbl>
              <c:idx val="1"/>
              <c:layout>
                <c:manualLayout>
                  <c:x val="-0.13995286526684164"/>
                  <c:y val="2.0271945173519976E-3"/>
                </c:manualLayout>
              </c:layout>
              <c:tx>
                <c:rich>
                  <a:bodyPr/>
                  <a:lstStyle/>
                  <a:p>
                    <a:pPr>
                      <a:defRPr b="1">
                        <a:solidFill>
                          <a:schemeClr val="bg1"/>
                        </a:solidFill>
                      </a:defRPr>
                    </a:pPr>
                    <a:r>
                      <a:rPr lang="uk-UA" b="1">
                        <a:solidFill>
                          <a:schemeClr val="bg1"/>
                        </a:solidFill>
                      </a:rPr>
                      <a:t>41</a:t>
                    </a:r>
                    <a:r>
                      <a:rPr lang="en-US" b="1">
                        <a:solidFill>
                          <a:schemeClr val="bg1"/>
                        </a:solidFill>
                      </a:rPr>
                      <a:t>%</a:t>
                    </a:r>
                  </a:p>
                </c:rich>
              </c:tx>
              <c:numFmt formatCode="0.00%" sourceLinked="0"/>
              <c:spPr/>
              <c:dLblPos val="bestFit"/>
              <c:showLegendKey val="0"/>
              <c:showVal val="1"/>
              <c:showCatName val="0"/>
              <c:showSerName val="0"/>
              <c:showPercent val="0"/>
              <c:showBubbleSize val="0"/>
            </c:dLbl>
            <c:dLbl>
              <c:idx val="2"/>
              <c:layout>
                <c:manualLayout>
                  <c:x val="0.13117716535433074"/>
                  <c:y val="-0.1475462962962962"/>
                </c:manualLayout>
              </c:layout>
              <c:tx>
                <c:rich>
                  <a:bodyPr/>
                  <a:lstStyle/>
                  <a:p>
                    <a:pPr>
                      <a:defRPr/>
                    </a:pPr>
                    <a:r>
                      <a:rPr lang="uk-UA" b="1">
                        <a:solidFill>
                          <a:schemeClr val="bg1"/>
                        </a:solidFill>
                      </a:rPr>
                      <a:t>48</a:t>
                    </a:r>
                    <a:r>
                      <a:rPr lang="en-US" b="1">
                        <a:solidFill>
                          <a:schemeClr val="bg1"/>
                        </a:solidFill>
                      </a:rPr>
                      <a:t>%</a:t>
                    </a:r>
                  </a:p>
                </c:rich>
              </c:tx>
              <c:numFmt formatCode="0.0%" sourceLinked="0"/>
              <c:spPr/>
              <c:dLblPos val="bestFit"/>
              <c:showLegendKey val="0"/>
              <c:showVal val="1"/>
              <c:showCatName val="0"/>
              <c:showSerName val="0"/>
              <c:showPercent val="0"/>
              <c:showBubbleSize val="0"/>
            </c:dLbl>
            <c:dLbl>
              <c:idx val="3"/>
              <c:layout>
                <c:manualLayout>
                  <c:x val="5.4796806649168854E-2"/>
                  <c:y val="6.9659886264217014E-2"/>
                </c:manualLayout>
              </c:layout>
              <c:tx>
                <c:rich>
                  <a:bodyPr/>
                  <a:lstStyle/>
                  <a:p>
                    <a:pPr>
                      <a:defRPr b="1">
                        <a:solidFill>
                          <a:schemeClr val="bg1"/>
                        </a:solidFill>
                      </a:defRPr>
                    </a:pPr>
                    <a:r>
                      <a:rPr lang="uk-UA" b="1">
                        <a:solidFill>
                          <a:schemeClr val="bg1"/>
                        </a:solidFill>
                      </a:rPr>
                      <a:t>11</a:t>
                    </a:r>
                    <a:r>
                      <a:rPr lang="en-US" b="1">
                        <a:solidFill>
                          <a:schemeClr val="bg1"/>
                        </a:solidFill>
                      </a:rPr>
                      <a:t>%</a:t>
                    </a:r>
                  </a:p>
                </c:rich>
              </c:tx>
              <c:spPr/>
              <c:dLblPos val="bestFit"/>
              <c:showLegendKey val="0"/>
              <c:showVal val="1"/>
              <c:showCatName val="0"/>
              <c:showSerName val="0"/>
              <c:showPercent val="0"/>
              <c:showBubbleSize val="0"/>
            </c:dLbl>
            <c:dLblPos val="bestFit"/>
            <c:showLegendKey val="0"/>
            <c:showVal val="1"/>
            <c:showCatName val="0"/>
            <c:showSerName val="0"/>
            <c:showPercent val="0"/>
            <c:showBubbleSize val="0"/>
            <c:showLeaderLines val="1"/>
          </c:dLbls>
          <c:cat>
            <c:strRef>
              <c:f>'[11_Математика_2023_2024.xlsx]1'!$A$34:$A$37</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'[11_Математика_2023_2024.xlsx]1'!$D$34:$D$37</c:f>
              <c:numCache>
                <c:formatCode>0%</c:formatCode>
                <c:ptCount val="4"/>
                <c:pt idx="0">
                  <c:v>0</c:v>
                </c:pt>
                <c:pt idx="1">
                  <c:v>0.41</c:v>
                </c:pt>
                <c:pt idx="2">
                  <c:v>0.48</c:v>
                </c:pt>
                <c:pt idx="3">
                  <c:v>0.11</c:v>
                </c:pt>
              </c:numCache>
            </c:numRef>
          </c:val>
        </c:ser>
        <c:dLbls>
          <c:dLblPos val="bestFit"/>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uk-UA" sz="1800" b="1" i="0" u="none" strike="noStrike" baseline="0">
                <a:effectLst/>
              </a:rPr>
              <a:t>Річна адміністративна контрольна робота з математики 11-В</a:t>
            </a:r>
            <a:endParaRPr lang="uk-UA"/>
          </a:p>
        </c:rich>
      </c:tx>
      <c:layout>
        <c:manualLayout>
          <c:xMode val="edge"/>
          <c:yMode val="edge"/>
          <c:x val="0.11756933508311461"/>
          <c:y val="2.7777777777777776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8.1178805774278218E-2"/>
                  <c:y val="0.11402741324001167"/>
                </c:manualLayout>
              </c:layout>
              <c:tx>
                <c:rich>
                  <a:bodyPr/>
                  <a:lstStyle/>
                  <a:p>
                    <a:r>
                      <a:rPr lang="uk-UA"/>
                      <a:t>22</a:t>
                    </a:r>
                    <a:r>
                      <a:rPr lang="en-US"/>
                      <a:t>%</a:t>
                    </a:r>
                  </a:p>
                </c:rich>
              </c:tx>
              <c:showLegendKey val="0"/>
              <c:showVal val="1"/>
              <c:showCatName val="0"/>
              <c:showSerName val="0"/>
              <c:showPercent val="0"/>
              <c:showBubbleSize val="0"/>
            </c:dLbl>
            <c:dLbl>
              <c:idx val="1"/>
              <c:layout>
                <c:manualLayout>
                  <c:x val="-9.9246062992125988E-2"/>
                  <c:y val="4.4716389617964418E-2"/>
                </c:manualLayout>
              </c:layout>
              <c:tx>
                <c:rich>
                  <a:bodyPr/>
                  <a:lstStyle/>
                  <a:p>
                    <a:pPr>
                      <a:defRPr sz="1100" b="1">
                        <a:solidFill>
                          <a:schemeClr val="bg1"/>
                        </a:solidFill>
                      </a:defRPr>
                    </a:pPr>
                    <a:r>
                      <a:rPr lang="uk-UA"/>
                      <a:t>28</a:t>
                    </a:r>
                    <a:r>
                      <a:rPr lang="en-US"/>
                      <a:t>%</a:t>
                    </a:r>
                  </a:p>
                </c:rich>
              </c:tx>
              <c:numFmt formatCode="0.00%" sourceLinked="0"/>
              <c:spPr/>
              <c:dLblPos val="bestFit"/>
              <c:showLegendKey val="0"/>
              <c:showVal val="1"/>
              <c:showCatName val="0"/>
              <c:showSerName val="0"/>
              <c:showPercent val="0"/>
              <c:showBubbleSize val="0"/>
            </c:dLbl>
            <c:dLbl>
              <c:idx val="2"/>
              <c:layout>
                <c:manualLayout>
                  <c:x val="2.8399168853893264E-2"/>
                  <c:y val="-0.20310258092738406"/>
                </c:manualLayout>
              </c:layout>
              <c:tx>
                <c:rich>
                  <a:bodyPr/>
                  <a:lstStyle/>
                  <a:p>
                    <a:pPr>
                      <a:defRPr sz="1100" b="1">
                        <a:solidFill>
                          <a:schemeClr val="bg1"/>
                        </a:solidFill>
                      </a:defRPr>
                    </a:pPr>
                    <a:r>
                      <a:rPr lang="uk-UA">
                        <a:solidFill>
                          <a:schemeClr val="bg1"/>
                        </a:solidFill>
                      </a:rPr>
                      <a:t>50</a:t>
                    </a:r>
                    <a:r>
                      <a:rPr lang="en-US">
                        <a:solidFill>
                          <a:schemeClr val="bg1"/>
                        </a:solidFill>
                      </a:rPr>
                      <a:t>%</a:t>
                    </a:r>
                  </a:p>
                </c:rich>
              </c:tx>
              <c:numFmt formatCode="0.0%" sourceLinked="0"/>
              <c:spPr/>
              <c:dLblPos val="bestFit"/>
              <c:showLegendKey val="0"/>
              <c:showVal val="1"/>
              <c:showCatName val="0"/>
              <c:showSerName val="0"/>
              <c:showPercent val="0"/>
              <c:showBubbleSize val="0"/>
            </c:dLbl>
            <c:dLbl>
              <c:idx val="3"/>
              <c:delete val="1"/>
            </c:dLbl>
            <c:txPr>
              <a:bodyPr/>
              <a:lstStyle/>
              <a:p>
                <a:pPr>
                  <a:defRPr sz="1100" b="1">
                    <a:solidFill>
                      <a:schemeClr val="bg1"/>
                    </a:solidFill>
                  </a:defRPr>
                </a:pPr>
                <a:endParaRPr lang="ru-RU"/>
              </a:p>
            </c:txPr>
            <c:dLblPos val="bestFit"/>
            <c:showLegendKey val="0"/>
            <c:showVal val="1"/>
            <c:showCatName val="0"/>
            <c:showSerName val="0"/>
            <c:showPercent val="0"/>
            <c:showBubbleSize val="0"/>
            <c:showLeaderLines val="1"/>
          </c:dLbls>
          <c:cat>
            <c:strRef>
              <c:f>'[11_Математика_2023_2024.xlsx]1'!$A$53:$A$56</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'[11_Математика_2023_2024.xlsx]1'!$D$53:$D$56</c:f>
              <c:numCache>
                <c:formatCode>0%</c:formatCode>
                <c:ptCount val="4"/>
                <c:pt idx="0">
                  <c:v>0</c:v>
                </c:pt>
                <c:pt idx="1">
                  <c:v>0.28000000000000003</c:v>
                </c:pt>
                <c:pt idx="2">
                  <c:v>0.5</c:v>
                </c:pt>
                <c:pt idx="3">
                  <c:v>0.22</c:v>
                </c:pt>
              </c:numCache>
            </c:numRef>
          </c:val>
        </c:ser>
        <c:dLbls>
          <c:dLblPos val="bestFit"/>
          <c:showLegendKey val="0"/>
          <c:showVal val="0"/>
          <c:showCatName val="0"/>
          <c:showSerName val="0"/>
          <c:showPercent val="1"/>
          <c:showBubbleSize val="0"/>
          <c:showLeaderLines val="1"/>
        </c:dLbls>
      </c:pie3DChart>
    </c:plotArea>
    <c:legend>
      <c:legendPos val="r"/>
      <c:overlay val="0"/>
      <c:txPr>
        <a:bodyPr/>
        <a:lstStyle/>
        <a:p>
          <a:pPr>
            <a:defRPr sz="1100"/>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uk-UA" sz="1800" b="1" i="0" u="none" strike="noStrike" baseline="0">
                <a:effectLst/>
              </a:rPr>
              <a:t>Річна адміністративна контрольна робота з математики 11-Г</a:t>
            </a:r>
            <a:endParaRPr lang="uk-UA"/>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6.4512139107611555E-2"/>
                  <c:y val="0.10013852435112278"/>
                </c:manualLayout>
              </c:layout>
              <c:tx>
                <c:rich>
                  <a:bodyPr/>
                  <a:lstStyle/>
                  <a:p>
                    <a:r>
                      <a:rPr lang="uk-UA"/>
                      <a:t>16</a:t>
                    </a:r>
                    <a:r>
                      <a:rPr lang="en-US"/>
                      <a:t>%</a:t>
                    </a:r>
                  </a:p>
                </c:rich>
              </c:tx>
              <c:showLegendKey val="0"/>
              <c:showVal val="1"/>
              <c:showCatName val="0"/>
              <c:showSerName val="0"/>
              <c:showPercent val="0"/>
              <c:showBubbleSize val="0"/>
            </c:dLbl>
            <c:dLbl>
              <c:idx val="1"/>
              <c:layout>
                <c:manualLayout>
                  <c:x val="-0.12155041557305336"/>
                  <c:y val="4.9120734908136482E-2"/>
                </c:manualLayout>
              </c:layout>
              <c:tx>
                <c:rich>
                  <a:bodyPr/>
                  <a:lstStyle/>
                  <a:p>
                    <a:pPr>
                      <a:defRPr sz="1100" b="1">
                        <a:solidFill>
                          <a:schemeClr val="bg1"/>
                        </a:solidFill>
                      </a:defRPr>
                    </a:pPr>
                    <a:r>
                      <a:rPr lang="uk-UA"/>
                      <a:t>42</a:t>
                    </a:r>
                    <a:r>
                      <a:rPr lang="en-US"/>
                      <a:t>%</a:t>
                    </a:r>
                  </a:p>
                </c:rich>
              </c:tx>
              <c:numFmt formatCode="0.00%" sourceLinked="0"/>
              <c:spPr/>
              <c:dLblPos val="bestFit"/>
              <c:showLegendKey val="0"/>
              <c:showVal val="1"/>
              <c:showCatName val="0"/>
              <c:showSerName val="0"/>
              <c:showPercent val="0"/>
              <c:showBubbleSize val="0"/>
            </c:dLbl>
            <c:dLbl>
              <c:idx val="2"/>
              <c:layout>
                <c:manualLayout>
                  <c:x val="0.11451027996500437"/>
                  <c:y val="-0.14291666666666675"/>
                </c:manualLayout>
              </c:layout>
              <c:tx>
                <c:rich>
                  <a:bodyPr/>
                  <a:lstStyle/>
                  <a:p>
                    <a:pPr>
                      <a:defRPr sz="1100" b="1">
                        <a:solidFill>
                          <a:schemeClr val="bg1"/>
                        </a:solidFill>
                      </a:defRPr>
                    </a:pPr>
                    <a:r>
                      <a:rPr lang="uk-UA">
                        <a:solidFill>
                          <a:schemeClr val="bg1"/>
                        </a:solidFill>
                      </a:rPr>
                      <a:t>42</a:t>
                    </a:r>
                    <a:r>
                      <a:rPr lang="en-US">
                        <a:solidFill>
                          <a:schemeClr val="bg1"/>
                        </a:solidFill>
                      </a:rPr>
                      <a:t>%</a:t>
                    </a:r>
                  </a:p>
                </c:rich>
              </c:tx>
              <c:numFmt formatCode="0.0%" sourceLinked="0"/>
              <c:spPr/>
              <c:dLblPos val="bestFit"/>
              <c:showLegendKey val="0"/>
              <c:showVal val="1"/>
              <c:showCatName val="0"/>
              <c:showSerName val="0"/>
              <c:showPercent val="0"/>
              <c:showBubbleSize val="0"/>
            </c:dLbl>
            <c:dLbl>
              <c:idx val="3"/>
              <c:delete val="1"/>
            </c:dLbl>
            <c:txPr>
              <a:bodyPr/>
              <a:lstStyle/>
              <a:p>
                <a:pPr>
                  <a:defRPr sz="1100" b="1">
                    <a:solidFill>
                      <a:schemeClr val="bg1"/>
                    </a:solidFill>
                  </a:defRPr>
                </a:pPr>
                <a:endParaRPr lang="ru-RU"/>
              </a:p>
            </c:txPr>
            <c:dLblPos val="bestFit"/>
            <c:showLegendKey val="0"/>
            <c:showVal val="1"/>
            <c:showCatName val="0"/>
            <c:showSerName val="0"/>
            <c:showPercent val="0"/>
            <c:showBubbleSize val="0"/>
            <c:showLeaderLines val="1"/>
          </c:dLbls>
          <c:cat>
            <c:strRef>
              <c:f>'[11_Математика_2023_2024.xlsx]1'!$A$72:$A$75</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'[11_Математика_2023_2024.xlsx]1'!$D$72:$D$75</c:f>
              <c:numCache>
                <c:formatCode>0%</c:formatCode>
                <c:ptCount val="4"/>
                <c:pt idx="0">
                  <c:v>0</c:v>
                </c:pt>
                <c:pt idx="1">
                  <c:v>0.42</c:v>
                </c:pt>
                <c:pt idx="2">
                  <c:v>0.42</c:v>
                </c:pt>
                <c:pt idx="3">
                  <c:v>0.16</c:v>
                </c:pt>
              </c:numCache>
            </c:numRef>
          </c:val>
        </c:ser>
        <c:dLbls>
          <c:dLblPos val="bestFit"/>
          <c:showLegendKey val="0"/>
          <c:showVal val="0"/>
          <c:showCatName val="0"/>
          <c:showSerName val="0"/>
          <c:showPercent val="1"/>
          <c:showBubbleSize val="0"/>
          <c:showLeaderLines val="1"/>
        </c:dLbls>
      </c:pie3DChart>
    </c:plotArea>
    <c:legend>
      <c:legendPos val="r"/>
      <c:overlay val="0"/>
      <c:txPr>
        <a:bodyPr/>
        <a:lstStyle/>
        <a:p>
          <a:pPr>
            <a:defRPr sz="1100"/>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800" b="1" i="0" u="none" strike="noStrike" baseline="0">
                <a:effectLst/>
              </a:rPr>
              <a:t>Успішність учнів  11-х класів</a:t>
            </a:r>
            <a:endParaRPr lang="uk-UA"/>
          </a:p>
        </c:rich>
      </c:tx>
      <c:layout>
        <c:manualLayout>
          <c:xMode val="edge"/>
          <c:yMode val="edge"/>
          <c:x val="0.25276370833751327"/>
          <c:y val="0"/>
        </c:manualLayout>
      </c:layout>
      <c:overlay val="0"/>
    </c:title>
    <c:autoTitleDeleted val="0"/>
    <c:plotArea>
      <c:layout/>
      <c:lineChart>
        <c:grouping val="standard"/>
        <c:varyColors val="0"/>
        <c:ser>
          <c:idx val="0"/>
          <c:order val="0"/>
          <c:tx>
            <c:strRef>
              <c:f>'[11_Математика_2023_2024.xlsx]1'!$C$115</c:f>
              <c:strCache>
                <c:ptCount val="1"/>
                <c:pt idx="0">
                  <c:v>11-А</c:v>
                </c:pt>
              </c:strCache>
            </c:strRef>
          </c:tx>
          <c:cat>
            <c:strRef>
              <c:f>'[11_Математика_2023_2024.xlsx]1'!$A$116:$A$119</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'[11_Математика_2023_2024.xlsx]1'!$C$116:$C$119</c:f>
              <c:numCache>
                <c:formatCode>General</c:formatCode>
                <c:ptCount val="4"/>
                <c:pt idx="0">
                  <c:v>2</c:v>
                </c:pt>
                <c:pt idx="1">
                  <c:v>7</c:v>
                </c:pt>
                <c:pt idx="2">
                  <c:v>11</c:v>
                </c:pt>
                <c:pt idx="3">
                  <c:v>3</c:v>
                </c:pt>
              </c:numCache>
            </c:numRef>
          </c:val>
          <c:smooth val="0"/>
        </c:ser>
        <c:ser>
          <c:idx val="1"/>
          <c:order val="1"/>
          <c:tx>
            <c:strRef>
              <c:f>'[11_Математика_2023_2024.xlsx]1'!$D$115</c:f>
              <c:strCache>
                <c:ptCount val="1"/>
                <c:pt idx="0">
                  <c:v>11-Б</c:v>
                </c:pt>
              </c:strCache>
            </c:strRef>
          </c:tx>
          <c:cat>
            <c:strRef>
              <c:f>'[11_Математика_2023_2024.xlsx]1'!$A$116:$A$119</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'[11_Математика_2023_2024.xlsx]1'!$D$116:$D$119</c:f>
              <c:numCache>
                <c:formatCode>General</c:formatCode>
                <c:ptCount val="4"/>
                <c:pt idx="0">
                  <c:v>0</c:v>
                </c:pt>
                <c:pt idx="1">
                  <c:v>8</c:v>
                </c:pt>
                <c:pt idx="2">
                  <c:v>9</c:v>
                </c:pt>
                <c:pt idx="3">
                  <c:v>2</c:v>
                </c:pt>
              </c:numCache>
            </c:numRef>
          </c:val>
          <c:smooth val="0"/>
        </c:ser>
        <c:ser>
          <c:idx val="2"/>
          <c:order val="2"/>
          <c:tx>
            <c:strRef>
              <c:f>'[11_Математика_2023_2024.xlsx]1'!$E$115</c:f>
              <c:strCache>
                <c:ptCount val="1"/>
                <c:pt idx="0">
                  <c:v>11-В</c:v>
                </c:pt>
              </c:strCache>
            </c:strRef>
          </c:tx>
          <c:cat>
            <c:strRef>
              <c:f>'[11_Математика_2023_2024.xlsx]1'!$A$116:$A$119</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'[11_Математика_2023_2024.xlsx]1'!$E$116:$E$119</c:f>
              <c:numCache>
                <c:formatCode>General</c:formatCode>
                <c:ptCount val="4"/>
                <c:pt idx="0">
                  <c:v>0</c:v>
                </c:pt>
                <c:pt idx="1">
                  <c:v>5</c:v>
                </c:pt>
                <c:pt idx="2">
                  <c:v>10</c:v>
                </c:pt>
                <c:pt idx="3">
                  <c:v>4</c:v>
                </c:pt>
              </c:numCache>
            </c:numRef>
          </c:val>
          <c:smooth val="0"/>
        </c:ser>
        <c:ser>
          <c:idx val="3"/>
          <c:order val="3"/>
          <c:tx>
            <c:strRef>
              <c:f>'[11_Математика_2023_2024.xlsx]1'!$F$115</c:f>
              <c:strCache>
                <c:ptCount val="1"/>
                <c:pt idx="0">
                  <c:v>11-Г</c:v>
                </c:pt>
              </c:strCache>
            </c:strRef>
          </c:tx>
          <c:cat>
            <c:strRef>
              <c:f>'[11_Математика_2023_2024.xlsx]1'!$A$116:$A$119</c:f>
              <c:strCache>
                <c:ptCount val="4"/>
                <c:pt idx="0">
                  <c:v>Початковий рівень</c:v>
                </c:pt>
                <c:pt idx="1">
                  <c:v>Середній рівень</c:v>
                </c:pt>
                <c:pt idx="2">
                  <c:v>Достатній рівень</c:v>
                </c:pt>
                <c:pt idx="3">
                  <c:v>Високий рівень</c:v>
                </c:pt>
              </c:strCache>
            </c:strRef>
          </c:cat>
          <c:val>
            <c:numRef>
              <c:f>'[11_Математика_2023_2024.xlsx]1'!$F$116:$F$119</c:f>
              <c:numCache>
                <c:formatCode>General</c:formatCode>
                <c:ptCount val="4"/>
                <c:pt idx="0">
                  <c:v>0</c:v>
                </c:pt>
                <c:pt idx="1">
                  <c:v>5</c:v>
                </c:pt>
                <c:pt idx="2">
                  <c:v>5</c:v>
                </c:pt>
                <c:pt idx="3">
                  <c:v>2</c:v>
                </c:pt>
              </c:numCache>
            </c:numRef>
          </c:val>
          <c:smooth val="0"/>
        </c:ser>
        <c:dLbls>
          <c:showLegendKey val="0"/>
          <c:showVal val="0"/>
          <c:showCatName val="0"/>
          <c:showSerName val="0"/>
          <c:showPercent val="0"/>
          <c:showBubbleSize val="0"/>
        </c:dLbls>
        <c:marker val="1"/>
        <c:smooth val="0"/>
        <c:axId val="250191232"/>
        <c:axId val="250197120"/>
      </c:lineChart>
      <c:catAx>
        <c:axId val="250191232"/>
        <c:scaling>
          <c:orientation val="minMax"/>
        </c:scaling>
        <c:delete val="0"/>
        <c:axPos val="b"/>
        <c:majorTickMark val="none"/>
        <c:minorTickMark val="none"/>
        <c:tickLblPos val="nextTo"/>
        <c:crossAx val="250197120"/>
        <c:crosses val="autoZero"/>
        <c:auto val="1"/>
        <c:lblAlgn val="ctr"/>
        <c:lblOffset val="100"/>
        <c:noMultiLvlLbl val="0"/>
      </c:catAx>
      <c:valAx>
        <c:axId val="250197120"/>
        <c:scaling>
          <c:orientation val="minMax"/>
        </c:scaling>
        <c:delete val="0"/>
        <c:axPos val="l"/>
        <c:majorGridlines/>
        <c:title>
          <c:tx>
            <c:rich>
              <a:bodyPr/>
              <a:lstStyle/>
              <a:p>
                <a:pPr>
                  <a:defRPr/>
                </a:pPr>
                <a:r>
                  <a:rPr lang="uk-UA" sz="1000" b="0">
                    <a:latin typeface="Times New Roman" panose="02020603050405020304" pitchFamily="18" charset="0"/>
                    <a:cs typeface="Times New Roman" panose="02020603050405020304" pitchFamily="18" charset="0"/>
                  </a:rPr>
                  <a:t>Кількість</a:t>
                </a:r>
                <a:r>
                  <a:rPr lang="uk-UA">
                    <a:latin typeface="Times New Roman" panose="02020603050405020304" pitchFamily="18" charset="0"/>
                    <a:cs typeface="Times New Roman" panose="02020603050405020304" pitchFamily="18" charset="0"/>
                  </a:rPr>
                  <a:t> </a:t>
                </a:r>
                <a:r>
                  <a:rPr lang="uk-UA" b="0">
                    <a:latin typeface="Times New Roman" panose="02020603050405020304" pitchFamily="18" charset="0"/>
                    <a:cs typeface="Times New Roman" panose="02020603050405020304" pitchFamily="18" charset="0"/>
                  </a:rPr>
                  <a:t>учнів</a:t>
                </a:r>
              </a:p>
            </c:rich>
          </c:tx>
          <c:layout>
            <c:manualLayout>
              <c:xMode val="edge"/>
              <c:yMode val="edge"/>
              <c:x val="2.5573958717003735E-2"/>
              <c:y val="0.27292030803841821"/>
            </c:manualLayout>
          </c:layout>
          <c:overlay val="0"/>
        </c:title>
        <c:numFmt formatCode="General" sourceLinked="1"/>
        <c:majorTickMark val="none"/>
        <c:minorTickMark val="none"/>
        <c:tickLblPos val="nextTo"/>
        <c:crossAx val="2501912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uk-UA" sz="1800" b="1" i="0" u="none" strike="noStrike" baseline="0">
                <a:effectLst/>
              </a:rPr>
              <a:t>Якість знань учнів 11-х класів  на основі річної адміністративної контрольної роботи з математики</a:t>
            </a:r>
            <a:endParaRPr lang="uk-UA"/>
          </a:p>
        </c:rich>
      </c:tx>
      <c:layout>
        <c:manualLayout>
          <c:xMode val="edge"/>
          <c:yMode val="edge"/>
          <c:x val="0.11153717435805958"/>
          <c:y val="5.5401662049861494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9.3972937848788324E-2"/>
                  <c:y val="6.0344479100777219E-2"/>
                </c:manualLayout>
              </c:layout>
              <c:tx>
                <c:rich>
                  <a:bodyPr/>
                  <a:lstStyle/>
                  <a:p>
                    <a:pPr>
                      <a:defRPr sz="1100" b="1">
                        <a:solidFill>
                          <a:schemeClr val="bg1"/>
                        </a:solidFill>
                      </a:defRPr>
                    </a:pPr>
                    <a:r>
                      <a:rPr lang="uk-UA">
                        <a:solidFill>
                          <a:schemeClr val="bg1"/>
                        </a:solidFill>
                      </a:rPr>
                      <a:t>61</a:t>
                    </a:r>
                    <a:r>
                      <a:rPr lang="en-US">
                        <a:solidFill>
                          <a:schemeClr val="bg1"/>
                        </a:solidFill>
                      </a:rPr>
                      <a:t>%</a:t>
                    </a:r>
                  </a:p>
                </c:rich>
              </c:tx>
              <c:numFmt formatCode="0.00%" sourceLinked="0"/>
              <c:spPr/>
              <c:showLegendKey val="0"/>
              <c:showVal val="1"/>
              <c:showCatName val="0"/>
              <c:showSerName val="0"/>
              <c:showPercent val="0"/>
              <c:showBubbleSize val="0"/>
            </c:dLbl>
            <c:dLbl>
              <c:idx val="1"/>
              <c:layout>
                <c:manualLayout>
                  <c:x val="-0.10552438226775052"/>
                  <c:y val="-0.15397590536639996"/>
                </c:manualLayout>
              </c:layout>
              <c:tx>
                <c:rich>
                  <a:bodyPr/>
                  <a:lstStyle/>
                  <a:p>
                    <a:r>
                      <a:rPr lang="uk-UA">
                        <a:solidFill>
                          <a:schemeClr val="bg1"/>
                        </a:solidFill>
                      </a:rPr>
                      <a:t>59</a:t>
                    </a:r>
                    <a:r>
                      <a:rPr lang="en-US">
                        <a:solidFill>
                          <a:schemeClr val="bg1"/>
                        </a:solidFill>
                      </a:rPr>
                      <a:t>%</a:t>
                    </a:r>
                    <a:endParaRPr lang="en-US"/>
                  </a:p>
                </c:rich>
              </c:tx>
              <c:showLegendKey val="0"/>
              <c:showVal val="1"/>
              <c:showCatName val="0"/>
              <c:showSerName val="0"/>
              <c:showPercent val="0"/>
              <c:showBubbleSize val="0"/>
            </c:dLbl>
            <c:dLbl>
              <c:idx val="2"/>
              <c:layout>
                <c:manualLayout>
                  <c:x val="0.11393046742943544"/>
                  <c:y val="-0.14646134607135328"/>
                </c:manualLayout>
              </c:layout>
              <c:tx>
                <c:rich>
                  <a:bodyPr/>
                  <a:lstStyle/>
                  <a:p>
                    <a:r>
                      <a:rPr lang="uk-UA">
                        <a:solidFill>
                          <a:schemeClr val="bg1"/>
                        </a:solidFill>
                      </a:rPr>
                      <a:t>72</a:t>
                    </a:r>
                    <a:r>
                      <a:rPr lang="en-US">
                        <a:solidFill>
                          <a:schemeClr val="bg1"/>
                        </a:solidFill>
                      </a:rPr>
                      <a:t>%</a:t>
                    </a:r>
                  </a:p>
                </c:rich>
              </c:tx>
              <c:showLegendKey val="0"/>
              <c:showVal val="1"/>
              <c:showCatName val="0"/>
              <c:showSerName val="0"/>
              <c:showPercent val="0"/>
              <c:showBubbleSize val="0"/>
            </c:dLbl>
            <c:dLbl>
              <c:idx val="3"/>
              <c:layout>
                <c:manualLayout>
                  <c:x val="7.2175419820095343E-2"/>
                  <c:y val="5.9132040627885504E-2"/>
                </c:manualLayout>
              </c:layout>
              <c:tx>
                <c:rich>
                  <a:bodyPr/>
                  <a:lstStyle/>
                  <a:p>
                    <a:r>
                      <a:rPr lang="uk-UA">
                        <a:solidFill>
                          <a:schemeClr val="bg1"/>
                        </a:solidFill>
                      </a:rPr>
                      <a:t>58</a:t>
                    </a:r>
                    <a:r>
                      <a:rPr lang="en-US">
                        <a:solidFill>
                          <a:schemeClr val="bg1"/>
                        </a:solidFill>
                      </a:rPr>
                      <a:t>%</a:t>
                    </a:r>
                    <a:endParaRPr lang="en-US"/>
                  </a:p>
                </c:rich>
              </c:tx>
              <c:showLegendKey val="0"/>
              <c:showVal val="1"/>
              <c:showCatName val="0"/>
              <c:showSerName val="0"/>
              <c:showPercent val="0"/>
              <c:showBubbleSize val="0"/>
            </c:dLbl>
            <c:txPr>
              <a:bodyPr/>
              <a:lstStyle/>
              <a:p>
                <a:pPr>
                  <a:defRPr sz="1100" b="1">
                    <a:solidFill>
                      <a:schemeClr val="bg1"/>
                    </a:solidFill>
                  </a:defRPr>
                </a:pPr>
                <a:endParaRPr lang="ru-RU"/>
              </a:p>
            </c:txPr>
            <c:showLegendKey val="0"/>
            <c:showVal val="1"/>
            <c:showCatName val="0"/>
            <c:showSerName val="0"/>
            <c:showPercent val="0"/>
            <c:showBubbleSize val="0"/>
            <c:showLeaderLines val="1"/>
          </c:dLbls>
          <c:cat>
            <c:strRef>
              <c:f>'[11_Математика_2023_2024.xlsx]1'!$A$92:$A$95</c:f>
              <c:strCache>
                <c:ptCount val="4"/>
                <c:pt idx="0">
                  <c:v>11-А</c:v>
                </c:pt>
                <c:pt idx="1">
                  <c:v>11-Б</c:v>
                </c:pt>
                <c:pt idx="2">
                  <c:v>11-В</c:v>
                </c:pt>
                <c:pt idx="3">
                  <c:v>11-Г</c:v>
                </c:pt>
              </c:strCache>
            </c:strRef>
          </c:cat>
          <c:val>
            <c:numRef>
              <c:f>'[11_Математика_2023_2024.xlsx]1'!$E$92:$E$95</c:f>
              <c:numCache>
                <c:formatCode>0%</c:formatCode>
                <c:ptCount val="4"/>
                <c:pt idx="0">
                  <c:v>0.61</c:v>
                </c:pt>
                <c:pt idx="1">
                  <c:v>0.59</c:v>
                </c:pt>
                <c:pt idx="2">
                  <c:v>0.72</c:v>
                </c:pt>
                <c:pt idx="3">
                  <c:v>0.57999999999999996</c:v>
                </c:pt>
              </c:numCache>
            </c:numRef>
          </c:val>
        </c:ser>
        <c:ser>
          <c:idx val="1"/>
          <c:order val="1"/>
          <c:tx>
            <c:strRef>
              <c:f>'[11_Математика_2023_2024.xlsx]1'!$D$92:$D$95</c:f>
              <c:strCache>
                <c:ptCount val="1"/>
                <c:pt idx="0">
                  <c:v>14 11 14 7</c:v>
                </c:pt>
              </c:strCache>
            </c:strRef>
          </c:tx>
          <c:dLbls>
            <c:showLegendKey val="0"/>
            <c:showVal val="0"/>
            <c:showCatName val="0"/>
            <c:showSerName val="0"/>
            <c:showPercent val="1"/>
            <c:showBubbleSize val="0"/>
            <c:showLeaderLines val="1"/>
          </c:dLbls>
          <c:val>
            <c:numLit>
              <c:formatCode>General</c:formatCode>
              <c:ptCount val="1"/>
              <c:pt idx="0">
                <c:v>1</c:v>
              </c:pt>
            </c:numLit>
          </c:val>
        </c:ser>
        <c:dLbls>
          <c:showLegendKey val="0"/>
          <c:showVal val="0"/>
          <c:showCatName val="0"/>
          <c:showSerName val="0"/>
          <c:showPercent val="1"/>
          <c:showBubbleSize val="0"/>
          <c:showLeaderLines val="1"/>
        </c:dLbls>
      </c:pie3DChart>
    </c:plotArea>
    <c:legend>
      <c:legendPos val="r"/>
      <c:layout>
        <c:manualLayout>
          <c:xMode val="edge"/>
          <c:yMode val="edge"/>
          <c:x val="0.81020054532018448"/>
          <c:y val="0.41826829818017902"/>
          <c:w val="0.15527949782976158"/>
          <c:h val="0.43280767189419883"/>
        </c:manualLayout>
      </c:layout>
      <c:overlay val="0"/>
      <c:txPr>
        <a:bodyPr/>
        <a:lstStyle/>
        <a:p>
          <a:pPr rtl="0">
            <a:defRPr sz="11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2024-01-14T10:59:00Z</dcterms:created>
  <dcterms:modified xsi:type="dcterms:W3CDTF">2024-06-25T07:51:00Z</dcterms:modified>
</cp:coreProperties>
</file>